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CF" w:rsidRPr="00AA4DCF" w:rsidRDefault="00AA4DCF" w:rsidP="00AA4DCF">
      <w:pPr>
        <w:spacing w:after="315" w:line="240" w:lineRule="auto"/>
        <w:outlineLvl w:val="2"/>
        <w:rPr>
          <w:rFonts w:ascii="FrutigerNeueLTPro-Regular" w:eastAsia="Times New Roman" w:hAnsi="FrutigerNeueLTPro-Regular" w:cs="Times New Roman"/>
          <w:b/>
          <w:bCs/>
          <w:color w:val="538135" w:themeColor="accent6" w:themeShade="BF"/>
          <w:sz w:val="30"/>
          <w:szCs w:val="30"/>
          <w:lang w:eastAsia="pl-PL"/>
        </w:rPr>
      </w:pPr>
      <w:r w:rsidRPr="00AA4DCF">
        <w:rPr>
          <w:rFonts w:ascii="FrutigerNeueLTPro-Regular" w:eastAsia="Times New Roman" w:hAnsi="FrutigerNeueLTPro-Regular" w:cs="Times New Roman"/>
          <w:b/>
          <w:bCs/>
          <w:color w:val="538135" w:themeColor="accent6" w:themeShade="BF"/>
          <w:sz w:val="30"/>
          <w:szCs w:val="30"/>
          <w:lang w:eastAsia="pl-PL"/>
        </w:rPr>
        <w:t>Program “Tarcza Finansowa PFR” dla Małych i Średnich Firm</w:t>
      </w:r>
    </w:p>
    <w:p w:rsidR="00AA4DCF" w:rsidRPr="00AA4DCF" w:rsidRDefault="00AA4DCF" w:rsidP="00AA4DCF">
      <w:pPr>
        <w:spacing w:after="315" w:line="240" w:lineRule="auto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AA4DCF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Dla kogo?</w:t>
      </w:r>
    </w:p>
    <w:p w:rsidR="00AA4DCF" w:rsidRPr="00AA4DCF" w:rsidRDefault="00AA4DCF" w:rsidP="00AA4DCF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Dla przedsiębiorcy, który zatrudnia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od 10 do 249 pracowników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, a jego roczny obrót nie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przekracza 50 mln euro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lub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suma bilansowa nie przekracza 43 mln euro</w:t>
      </w:r>
      <w:r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;</w:t>
      </w:r>
    </w:p>
    <w:p w:rsidR="00AA4DCF" w:rsidRPr="00AA4DCF" w:rsidRDefault="00AA4DCF" w:rsidP="00AA4DCF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Dla przedsiębiorcy, którzy odnotowuje spadek obrotów gospodarczych (przychodów ze sprzedaży) o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 co najmniej 25%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w dowolnym miesiącu po 1 lutego 2020 r. w porównaniu do poprzedniego miesiąca lub analogicznego miesiąca ubiegłego roku w związku zakłóceniami w funkcjonowaniu gospodarki na skutek COVID-19 (spadek sprzedaży towarów lub usług w rozumieniu art. 15g ust. 9 ustawy z dnia 2 marca 2020 r. o szczególnych rozwiązaniach związanych z zapobieganiem, przeciwdziałaniem i zwalczaniem COVID-19, innych chorób zakaźnych oraz wywołanych nimi sytuacji kryzysowych (Dz.U. poz. 374, 567 i 568);</w:t>
      </w:r>
    </w:p>
    <w:p w:rsidR="00AA4DCF" w:rsidRPr="00AA4DCF" w:rsidRDefault="00AA4DCF" w:rsidP="00AA4DCF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Wobec przedsiębiorstwa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nie zostało otwarte postępowanie upadłościowe lub likwidacyjne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albo nie zostało otwarte postępowanie restrukturyzacyjne.</w:t>
      </w:r>
    </w:p>
    <w:p w:rsidR="00AA4DCF" w:rsidRPr="00AA4DCF" w:rsidRDefault="00AA4DCF" w:rsidP="00AA4DCF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Beneficjent rzeczywisty korzystający z wsparcia finansowego w ramach Programu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posiada rezydencję podatkową na terytorium Rzeczpospolitej Polskiej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i rozliczał podatki za ostatnie 2 lata obrotowe (jeżeli dotyczy) na terytorium Rzeczpospolitej Polskiej. Odejście od tej zasady możliwie jest wyłącznie w sytuacji zobowiązania Beneficjenta Programu do przeniesienia rezydencji podatkowej na terytorium Rzeczpospolitej Polskiej w terminie do 9 miesięcy od udzielenia pożyczki.</w:t>
      </w:r>
    </w:p>
    <w:p w:rsidR="00AA4DCF" w:rsidRPr="00AA4DCF" w:rsidRDefault="00AA4DCF" w:rsidP="00AA4DCF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Przedsiębiorca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prowadził działalność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na dzień 31 grudnia 2019 r.</w:t>
      </w:r>
    </w:p>
    <w:p w:rsidR="00AA4DCF" w:rsidRPr="00AA4DCF" w:rsidRDefault="00AA4DCF" w:rsidP="00AA4DCF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Przedsiębiorca na dzień 31 grudnia 2019 r. lub na dzień udzielenia finansowania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nie zalegał z płatnościami podatków i składek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na ubezpieczenia społeczne, przy czym rozłożenie płatności na raty lub jej odroczenie nie jest uznawane za zaległość.</w:t>
      </w:r>
    </w:p>
    <w:p w:rsidR="00AA4DCF" w:rsidRPr="00AA4DCF" w:rsidRDefault="00AA4DCF" w:rsidP="00AA4DCF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p w:rsidR="00AA4DCF" w:rsidRPr="00AA4DCF" w:rsidRDefault="00AA4DCF" w:rsidP="00AA4DCF">
      <w:pPr>
        <w:spacing w:after="315" w:line="240" w:lineRule="auto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AA4DCF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Jakie są warunki finansowania?</w:t>
      </w:r>
    </w:p>
    <w:p w:rsidR="00AA4DCF" w:rsidRPr="00AA4DCF" w:rsidRDefault="00AA4DCF" w:rsidP="00AA4DCF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Instrumentem finansowym Programu są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subwencje zwrotne Polskiego Funduszu Rozwoju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, przeznaczone na:</w:t>
      </w:r>
    </w:p>
    <w:p w:rsidR="00AA4DCF" w:rsidRPr="00AA4DCF" w:rsidRDefault="00AA4DCF" w:rsidP="00AA4DCF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wyłączeniem przeznaczenia środków na nabycie (przejęcie) w sposób bezpośredni lub pośredni innego przedsiębiorcy (zakaz akwizycji)</w:t>
      </w:r>
    </w:p>
    <w:p w:rsidR="00AA4DCF" w:rsidRPr="00AA4DCF" w:rsidRDefault="00AA4DCF" w:rsidP="00AA4DCF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dopuszczalna spłata kredytów: możliwość wykorzystania subwencji na przedterminową spłatę kredytów do maksymalnej wysokości 25% wartości pożyczki</w:t>
      </w:r>
    </w:p>
    <w:p w:rsidR="00AA4DCF" w:rsidRPr="00AA4DCF" w:rsidRDefault="00AA4DCF" w:rsidP="00AA4DCF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rozliczenia z podmiotami powiązanymi: zakaz przeznaczania środków z subwencji na płatności do właściciela, do osób lub podmiotów powiązanych z właścicielem przedsiębiorstwa</w:t>
      </w:r>
    </w:p>
    <w:p w:rsidR="00AA4DCF" w:rsidRPr="00AA4DCF" w:rsidRDefault="00AA4DCF" w:rsidP="00AA4DCF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zwrot: na warunkach określonych w Programie i umowie subwencji</w:t>
      </w:r>
    </w:p>
    <w:p w:rsidR="00AA4DCF" w:rsidRPr="00AA4DCF" w:rsidRDefault="00AA4DCF" w:rsidP="00AA4DCF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S</w:t>
      </w:r>
      <w:bookmarkStart w:id="0" w:name="_GoBack"/>
      <w:bookmarkEnd w:id="0"/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zczegółowe warunki wsparcia finansowego oraz zobowiązania Beneficjenta Programu określać będzie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umowa subwencji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</w:t>
      </w:r>
    </w:p>
    <w:p w:rsidR="00AA4DCF" w:rsidRPr="00AA4DCF" w:rsidRDefault="00AA4DCF" w:rsidP="00AA4DCF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lastRenderedPageBreak/>
        <w:t>Polski Fundusz Rozwoju stosować będzie możliwie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uproszczoną procedurę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przyznawania finansowania, a procedura przyznawania wsparcia finansowego będzie możliwie automatyczna i w szczególności realizowana za pośrednictwem kanałów elektronicznych (np. banków) z wykorzystaniem oświadczeń składanych przez Beneficjenta Programu.</w:t>
      </w:r>
    </w:p>
    <w:p w:rsidR="00AA4DCF" w:rsidRPr="00AA4DCF" w:rsidRDefault="00AA4DCF" w:rsidP="00AA4DCF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p w:rsidR="00AA4DCF" w:rsidRPr="00AA4DCF" w:rsidRDefault="00AA4DCF" w:rsidP="00AA4DCF">
      <w:pPr>
        <w:spacing w:after="315" w:line="240" w:lineRule="auto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AA4DCF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Jaka jest wysokość udzielanego wsparcia finansowego?</w:t>
      </w:r>
    </w:p>
    <w:p w:rsidR="00AA4DCF" w:rsidRPr="00AA4DCF" w:rsidRDefault="00AA4DCF" w:rsidP="00AA4DCF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Maksymalna kwota subwencji zwrotnej w ramach Programu wsparcia finansowego Tarcza Finansowa PFR dla MŚP obliczana jest jako % wartości przychodów ze sprzedaży przedsiębiorcy za rok obrotowy 2019. Wysokość wsparcia wyrażona % przychodów ze sprzedaży zależy dodatkowo od skali spadku obrotów w związku z COVID-19.</w:t>
      </w:r>
    </w:p>
    <w:p w:rsidR="00AA4DCF" w:rsidRPr="00AA4DCF" w:rsidRDefault="00AA4DCF" w:rsidP="00AA4DCF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noProof/>
          <w:color w:val="313131"/>
          <w:sz w:val="24"/>
          <w:szCs w:val="24"/>
          <w:lang w:eastAsia="pl-PL"/>
        </w:rPr>
        <w:drawing>
          <wp:inline distT="0" distB="0" distL="0" distR="0" wp14:anchorId="43310ABA" wp14:editId="1BC2BB86">
            <wp:extent cx="6141720" cy="1569720"/>
            <wp:effectExtent l="0" t="0" r="0" b="0"/>
            <wp:docPr id="1" name="Obraz 1" descr="https://www.sgb.pl/wp-content/uploads/2020/04/obraz-2-768x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gb.pl/wp-content/uploads/2020/04/obraz-2-768x1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CF" w:rsidRDefault="00AA4DCF" w:rsidP="00AA4DCF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Biorąc pod uwagę średnie przychody w sektorze małych i średnich przedsiębiorstw na poziomie około 31,3 mln zł szacowana średnia wysokość wsparcia finansowego wyniesie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około 1,9 mln zł dla jednego przedsiębiorstwa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oraz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maksymalnie do 3,5 mln zł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</w:t>
      </w:r>
    </w:p>
    <w:p w:rsidR="00AA4DCF" w:rsidRPr="00AA4DCF" w:rsidRDefault="00AA4DCF" w:rsidP="00AA4DCF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</w:p>
    <w:p w:rsidR="00AA4DCF" w:rsidRPr="00AA4DCF" w:rsidRDefault="00AA4DCF" w:rsidP="00AA4DCF">
      <w:pPr>
        <w:spacing w:after="315" w:line="240" w:lineRule="auto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AA4DCF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Jakie są warunki umorzenia subwencji?</w:t>
      </w:r>
    </w:p>
    <w:p w:rsidR="00AA4DCF" w:rsidRPr="00AA4DCF" w:rsidRDefault="00AA4DCF" w:rsidP="00AA4DCF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Otrzymana przez przedsiębiorcę pożyczka preferencyjna </w:t>
      </w:r>
      <w:r w:rsidRPr="00AA4DCF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może być umorzona do wysokości 75%</w:t>
      </w: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na koniec 12 miesiąca kalendarzowego od dnia wypłaty pożyczki na następujących zasadach:</w:t>
      </w:r>
    </w:p>
    <w:p w:rsidR="00AA4DCF" w:rsidRPr="00AA4DCF" w:rsidRDefault="00AA4DCF" w:rsidP="00AA4DCF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25% pod warunkiem kontynuacji działalności;</w:t>
      </w:r>
    </w:p>
    <w:p w:rsidR="00AA4DCF" w:rsidRPr="00AA4DCF" w:rsidRDefault="00AA4DCF" w:rsidP="00AA4DCF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25% w zależności od poniesionej przez przedsiębiorstwo straty na sprzedaży;</w:t>
      </w:r>
    </w:p>
    <w:p w:rsidR="00AA4DCF" w:rsidRPr="00AA4DCF" w:rsidRDefault="00AA4DCF" w:rsidP="00AA4DCF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Dodatkowo 25% w zależności od utrzymania średniego zatrudnienia w okresie 12 miesięcy.</w:t>
      </w:r>
    </w:p>
    <w:p w:rsidR="00AA4DCF" w:rsidRPr="00AA4DCF" w:rsidRDefault="00AA4DCF" w:rsidP="00AA4DCF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 przypadku zmniejszenia zatrudnienia procent zwrotu subwencji jest odpowiednio wyższy, co stanowi silny bodziec dla beneficjentów do utrzymywania miejsc pracy.</w:t>
      </w:r>
    </w:p>
    <w:p w:rsidR="00AA4DCF" w:rsidRPr="00AA4DCF" w:rsidRDefault="00AA4DCF" w:rsidP="00AA4DCF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Szczegółowe zasady zwrotu określi umowa pomiędzy Polskim Funduszem Rozwoju a Ministerstwem Rozwoju.</w:t>
      </w:r>
    </w:p>
    <w:p w:rsidR="006F6761" w:rsidRPr="00AA4DCF" w:rsidRDefault="00AA4DCF" w:rsidP="00AA4DCF">
      <w:pPr>
        <w:spacing w:after="375"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A4DCF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sectPr w:rsidR="006F6761" w:rsidRPr="00AA4DCF" w:rsidSect="00AA4D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NeueLTPro-Regular">
    <w:altName w:val="Times New Roman"/>
    <w:panose1 w:val="00000000000000000000"/>
    <w:charset w:val="00"/>
    <w:family w:val="roman"/>
    <w:notTrueType/>
    <w:pitch w:val="default"/>
  </w:font>
  <w:font w:name="FrutigerNeueLTPro-Light">
    <w:altName w:val="Times New Roman"/>
    <w:panose1 w:val="00000000000000000000"/>
    <w:charset w:val="00"/>
    <w:family w:val="roman"/>
    <w:notTrueType/>
    <w:pitch w:val="default"/>
  </w:font>
  <w:font w:name="FrutigerNeueLTPro-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079D8"/>
    <w:multiLevelType w:val="multilevel"/>
    <w:tmpl w:val="3A2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C457F"/>
    <w:multiLevelType w:val="multilevel"/>
    <w:tmpl w:val="D6E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74114"/>
    <w:multiLevelType w:val="multilevel"/>
    <w:tmpl w:val="C6E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53F23"/>
    <w:multiLevelType w:val="multilevel"/>
    <w:tmpl w:val="B59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CF"/>
    <w:rsid w:val="006F6761"/>
    <w:rsid w:val="00A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FABB-C3DD-4416-8ECE-FC0A6A9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8A865-9BFB-48FD-9CFA-4F4D9A783454}"/>
</file>

<file path=customXml/itemProps2.xml><?xml version="1.0" encoding="utf-8"?>
<ds:datastoreItem xmlns:ds="http://schemas.openxmlformats.org/officeDocument/2006/customXml" ds:itemID="{13E25D76-F32E-4AD0-8C74-7163FA2995E5}"/>
</file>

<file path=customXml/itemProps3.xml><?xml version="1.0" encoding="utf-8"?>
<ds:datastoreItem xmlns:ds="http://schemas.openxmlformats.org/officeDocument/2006/customXml" ds:itemID="{3301B1D3-D85F-49D0-B608-AF2469EE0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1</cp:revision>
  <dcterms:created xsi:type="dcterms:W3CDTF">2020-05-21T10:19:00Z</dcterms:created>
  <dcterms:modified xsi:type="dcterms:W3CDTF">2020-05-21T10:22:00Z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