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F1839" w14:textId="064F4FF0" w:rsidR="00315462" w:rsidRPr="00315462" w:rsidRDefault="002A16E2" w:rsidP="00315462">
      <w:pPr>
        <w:autoSpaceDN w:val="0"/>
        <w:adjustRightInd w:val="0"/>
        <w:spacing w:line="276" w:lineRule="auto"/>
        <w:ind w:left="5670"/>
        <w:jc w:val="right"/>
        <w:rPr>
          <w:b/>
          <w:color w:val="000000"/>
          <w:szCs w:val="24"/>
        </w:rPr>
      </w:pPr>
      <w:bookmarkStart w:id="0" w:name="_GoBack"/>
      <w:r w:rsidRPr="00315462">
        <w:rPr>
          <w:b/>
          <w:color w:val="000000"/>
          <w:szCs w:val="24"/>
        </w:rPr>
        <w:t xml:space="preserve">Załącznik </w:t>
      </w:r>
      <w:r w:rsidR="00315462" w:rsidRPr="00315462">
        <w:rPr>
          <w:b/>
          <w:color w:val="000000"/>
          <w:szCs w:val="24"/>
        </w:rPr>
        <w:t>do:</w:t>
      </w:r>
    </w:p>
    <w:bookmarkEnd w:id="0"/>
    <w:p w14:paraId="0C898E68" w14:textId="77DCE650" w:rsidR="00315462" w:rsidRPr="00315462" w:rsidRDefault="002A16E2" w:rsidP="00315462">
      <w:pPr>
        <w:autoSpaceDN w:val="0"/>
        <w:adjustRightInd w:val="0"/>
        <w:spacing w:line="276" w:lineRule="auto"/>
        <w:jc w:val="right"/>
        <w:rPr>
          <w:b/>
          <w:color w:val="000000"/>
          <w:szCs w:val="24"/>
        </w:rPr>
      </w:pPr>
      <w:r w:rsidRPr="00315462">
        <w:rPr>
          <w:b/>
          <w:color w:val="000000"/>
          <w:szCs w:val="24"/>
        </w:rPr>
        <w:t xml:space="preserve">Uchwały nr </w:t>
      </w:r>
      <w:r w:rsidR="00315462" w:rsidRPr="00315462">
        <w:rPr>
          <w:b/>
          <w:color w:val="000000"/>
          <w:szCs w:val="24"/>
        </w:rPr>
        <w:t>38</w:t>
      </w:r>
      <w:r w:rsidRPr="00315462">
        <w:rPr>
          <w:b/>
          <w:color w:val="000000"/>
          <w:szCs w:val="24"/>
        </w:rPr>
        <w:t>/2019 Zarządu B</w:t>
      </w:r>
      <w:r w:rsidR="00315462" w:rsidRPr="00315462">
        <w:rPr>
          <w:b/>
          <w:color w:val="000000"/>
          <w:szCs w:val="24"/>
        </w:rPr>
        <w:t xml:space="preserve">anu </w:t>
      </w:r>
      <w:r w:rsidRPr="00315462">
        <w:rPr>
          <w:b/>
          <w:color w:val="000000"/>
          <w:szCs w:val="24"/>
        </w:rPr>
        <w:t>S</w:t>
      </w:r>
      <w:r w:rsidR="00315462" w:rsidRPr="00315462">
        <w:rPr>
          <w:b/>
          <w:color w:val="000000"/>
          <w:szCs w:val="24"/>
        </w:rPr>
        <w:t>półdzielczego</w:t>
      </w:r>
      <w:r w:rsidRPr="00315462">
        <w:rPr>
          <w:b/>
          <w:color w:val="000000"/>
          <w:szCs w:val="24"/>
        </w:rPr>
        <w:t xml:space="preserve"> </w:t>
      </w:r>
      <w:r w:rsidR="00315462" w:rsidRPr="00315462">
        <w:rPr>
          <w:b/>
          <w:color w:val="000000"/>
          <w:szCs w:val="24"/>
        </w:rPr>
        <w:t>w Warce z dnia 17.04.2019</w:t>
      </w:r>
    </w:p>
    <w:p w14:paraId="41E503E3" w14:textId="6901F988" w:rsidR="002A16E2" w:rsidRPr="00315462" w:rsidRDefault="002A16E2" w:rsidP="00315462">
      <w:pPr>
        <w:autoSpaceDN w:val="0"/>
        <w:adjustRightInd w:val="0"/>
        <w:spacing w:line="276" w:lineRule="auto"/>
        <w:jc w:val="right"/>
        <w:rPr>
          <w:b/>
          <w:szCs w:val="24"/>
        </w:rPr>
      </w:pPr>
      <w:r w:rsidRPr="00315462">
        <w:rPr>
          <w:b/>
          <w:szCs w:val="24"/>
        </w:rPr>
        <w:t>Uchw</w:t>
      </w:r>
      <w:r w:rsidR="00315462" w:rsidRPr="00315462">
        <w:rPr>
          <w:b/>
          <w:szCs w:val="24"/>
        </w:rPr>
        <w:t>ały</w:t>
      </w:r>
      <w:r w:rsidRPr="00315462">
        <w:rPr>
          <w:b/>
          <w:szCs w:val="24"/>
        </w:rPr>
        <w:t xml:space="preserve"> nr </w:t>
      </w:r>
      <w:r w:rsidR="00315462" w:rsidRPr="00315462">
        <w:rPr>
          <w:b/>
          <w:szCs w:val="24"/>
        </w:rPr>
        <w:t>24</w:t>
      </w:r>
      <w:r w:rsidRPr="00315462">
        <w:rPr>
          <w:b/>
          <w:szCs w:val="24"/>
        </w:rPr>
        <w:t>/2019</w:t>
      </w:r>
      <w:r w:rsidR="00315462" w:rsidRPr="00315462">
        <w:rPr>
          <w:b/>
          <w:color w:val="000000"/>
          <w:szCs w:val="24"/>
        </w:rPr>
        <w:t xml:space="preserve"> </w:t>
      </w:r>
      <w:r w:rsidRPr="00315462">
        <w:rPr>
          <w:b/>
          <w:szCs w:val="24"/>
        </w:rPr>
        <w:t>Rady Nadzorczej Banku Spółdzielczego</w:t>
      </w:r>
      <w:r w:rsidR="00315462" w:rsidRPr="00315462">
        <w:rPr>
          <w:b/>
          <w:color w:val="000000"/>
          <w:szCs w:val="24"/>
        </w:rPr>
        <w:t xml:space="preserve"> </w:t>
      </w:r>
      <w:r w:rsidR="00315462" w:rsidRPr="00315462">
        <w:rPr>
          <w:b/>
          <w:szCs w:val="24"/>
        </w:rPr>
        <w:t xml:space="preserve">w Warce  </w:t>
      </w:r>
      <w:r w:rsidRPr="00315462">
        <w:rPr>
          <w:b/>
          <w:szCs w:val="24"/>
        </w:rPr>
        <w:t xml:space="preserve">z dnia </w:t>
      </w:r>
      <w:r w:rsidR="00315462" w:rsidRPr="00315462">
        <w:rPr>
          <w:b/>
          <w:szCs w:val="24"/>
        </w:rPr>
        <w:t>24.04.2019</w:t>
      </w:r>
    </w:p>
    <w:p w14:paraId="15414847" w14:textId="15C40D85" w:rsidR="00315462" w:rsidRPr="00B10FAD" w:rsidRDefault="00315462" w:rsidP="00315462">
      <w:pPr>
        <w:autoSpaceDN w:val="0"/>
        <w:adjustRightInd w:val="0"/>
        <w:spacing w:line="276" w:lineRule="auto"/>
        <w:jc w:val="right"/>
        <w:rPr>
          <w:b/>
          <w:color w:val="000000"/>
          <w:szCs w:val="24"/>
        </w:rPr>
      </w:pPr>
      <w:r w:rsidRPr="00B10FAD">
        <w:rPr>
          <w:b/>
          <w:color w:val="000000"/>
          <w:szCs w:val="24"/>
        </w:rPr>
        <w:t>Uchwały nr 9/2019 Zebrania Przedstawicieli Banku Spółdzielczego w Warce z dnia 22.05.2019</w:t>
      </w:r>
    </w:p>
    <w:p w14:paraId="452771B0" w14:textId="77777777" w:rsidR="00315462" w:rsidRDefault="00315462" w:rsidP="00315462">
      <w:pPr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4"/>
          <w:szCs w:val="24"/>
        </w:rPr>
      </w:pPr>
    </w:p>
    <w:p w14:paraId="6D669F6F" w14:textId="77777777" w:rsidR="00315462" w:rsidRPr="00315462" w:rsidRDefault="00315462" w:rsidP="00315462">
      <w:pPr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4"/>
          <w:szCs w:val="24"/>
        </w:rPr>
      </w:pPr>
    </w:p>
    <w:p w14:paraId="09D2EDBD" w14:textId="0B666E32" w:rsidR="002A16E2" w:rsidRPr="00637339" w:rsidRDefault="002A16E2" w:rsidP="002A16E2">
      <w:pPr>
        <w:spacing w:line="360" w:lineRule="auto"/>
        <w:jc w:val="right"/>
        <w:rPr>
          <w:rFonts w:ascii="Garamond" w:hAnsi="Garamond"/>
          <w:sz w:val="24"/>
          <w:szCs w:val="24"/>
        </w:rPr>
      </w:pPr>
    </w:p>
    <w:p w14:paraId="7BF73011" w14:textId="739E32BA" w:rsidR="002A16E2" w:rsidRPr="00637339" w:rsidRDefault="00315462" w:rsidP="002A16E2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31546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C05642" wp14:editId="4B078E03">
            <wp:simplePos x="0" y="0"/>
            <wp:positionH relativeFrom="margin">
              <wp:posOffset>2392680</wp:posOffset>
            </wp:positionH>
            <wp:positionV relativeFrom="margin">
              <wp:posOffset>1328420</wp:posOffset>
            </wp:positionV>
            <wp:extent cx="1115695" cy="6565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BF628" w14:textId="29718B3D" w:rsidR="002A16E2" w:rsidRPr="00637339" w:rsidRDefault="002A16E2" w:rsidP="00315462">
      <w:pPr>
        <w:spacing w:line="360" w:lineRule="auto"/>
        <w:jc w:val="center"/>
        <w:rPr>
          <w:rFonts w:ascii="Garamond" w:hAnsi="Garamond"/>
          <w:color w:val="FF0000"/>
          <w:sz w:val="24"/>
          <w:szCs w:val="24"/>
        </w:rPr>
      </w:pPr>
    </w:p>
    <w:p w14:paraId="611F51A4" w14:textId="77777777" w:rsidR="002A16E2" w:rsidRPr="00637339" w:rsidRDefault="002A16E2" w:rsidP="002A16E2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14:paraId="6102913E" w14:textId="77777777" w:rsidR="00315462" w:rsidRDefault="00315462" w:rsidP="00315462">
      <w:pPr>
        <w:spacing w:line="360" w:lineRule="auto"/>
        <w:rPr>
          <w:rFonts w:ascii="Garamond" w:hAnsi="Garamond"/>
          <w:b/>
          <w:sz w:val="24"/>
          <w:szCs w:val="24"/>
        </w:rPr>
      </w:pPr>
    </w:p>
    <w:p w14:paraId="361D4ED8" w14:textId="77777777" w:rsidR="00315462" w:rsidRPr="00315462" w:rsidRDefault="00315462" w:rsidP="00315462">
      <w:pPr>
        <w:spacing w:line="276" w:lineRule="auto"/>
        <w:jc w:val="center"/>
        <w:rPr>
          <w:rFonts w:eastAsia="Times New Roman"/>
          <w:b/>
          <w:sz w:val="24"/>
        </w:rPr>
      </w:pPr>
      <w:r w:rsidRPr="00315462">
        <w:rPr>
          <w:rFonts w:eastAsia="Times New Roman"/>
          <w:b/>
          <w:sz w:val="24"/>
          <w:lang w:val="x-none"/>
        </w:rPr>
        <w:t>Bank Spółdzielczy w Warc</w:t>
      </w:r>
      <w:r w:rsidRPr="00315462">
        <w:rPr>
          <w:rFonts w:eastAsia="Times New Roman"/>
          <w:b/>
          <w:sz w:val="24"/>
        </w:rPr>
        <w:t>e</w:t>
      </w:r>
    </w:p>
    <w:p w14:paraId="1D668000" w14:textId="77777777" w:rsidR="00315462" w:rsidRPr="00315462" w:rsidRDefault="00315462" w:rsidP="00315462">
      <w:pPr>
        <w:jc w:val="center"/>
        <w:rPr>
          <w:rFonts w:eastAsia="Times New Roman"/>
        </w:rPr>
      </w:pPr>
      <w:r w:rsidRPr="00315462">
        <w:rPr>
          <w:rFonts w:eastAsia="Times New Roman"/>
          <w:b/>
        </w:rPr>
        <w:t>Spółdzielcza Grupa Bankowa</w:t>
      </w:r>
    </w:p>
    <w:p w14:paraId="3A8AF089" w14:textId="77777777" w:rsidR="00315462" w:rsidRPr="00315462" w:rsidRDefault="00315462" w:rsidP="002A16E2">
      <w:pPr>
        <w:spacing w:line="360" w:lineRule="auto"/>
        <w:jc w:val="center"/>
        <w:rPr>
          <w:rFonts w:ascii="Garamond" w:hAnsi="Garamond"/>
          <w:b/>
        </w:rPr>
      </w:pPr>
    </w:p>
    <w:p w14:paraId="7F3A78A7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133AA6A" w14:textId="77777777" w:rsidR="00315462" w:rsidRPr="00637339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82830E6" w14:textId="77777777" w:rsidR="002A16E2" w:rsidRPr="00637339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410D436" w14:textId="64FA3240" w:rsidR="002A16E2" w:rsidRPr="00315462" w:rsidRDefault="002A16E2" w:rsidP="00315462">
      <w:pPr>
        <w:pStyle w:val="Nagwek4"/>
        <w:rPr>
          <w:rFonts w:eastAsia="Calibri"/>
          <w:i w:val="0"/>
          <w:sz w:val="32"/>
          <w:szCs w:val="24"/>
        </w:rPr>
      </w:pPr>
      <w:r w:rsidRPr="00315462">
        <w:rPr>
          <w:rFonts w:eastAsia="Calibri"/>
          <w:i w:val="0"/>
          <w:sz w:val="32"/>
          <w:szCs w:val="24"/>
        </w:rPr>
        <w:t xml:space="preserve">Polityka Ładu Korporacyjnego </w:t>
      </w:r>
      <w:r w:rsidRPr="00315462">
        <w:rPr>
          <w:rFonts w:eastAsia="Calibri"/>
          <w:i w:val="0"/>
          <w:sz w:val="32"/>
          <w:szCs w:val="24"/>
        </w:rPr>
        <w:br/>
        <w:t xml:space="preserve">Banku Spółdzielczego </w:t>
      </w:r>
      <w:r w:rsidR="00315462" w:rsidRPr="00315462">
        <w:rPr>
          <w:rFonts w:eastAsia="Calibri"/>
          <w:i w:val="0"/>
          <w:sz w:val="32"/>
          <w:szCs w:val="24"/>
        </w:rPr>
        <w:t>w Warce</w:t>
      </w:r>
    </w:p>
    <w:p w14:paraId="64A9DC94" w14:textId="77777777" w:rsidR="002A16E2" w:rsidRPr="00315462" w:rsidRDefault="002A16E2" w:rsidP="002A16E2">
      <w:pPr>
        <w:spacing w:line="360" w:lineRule="auto"/>
        <w:rPr>
          <w:sz w:val="32"/>
          <w:szCs w:val="24"/>
        </w:rPr>
      </w:pPr>
    </w:p>
    <w:p w14:paraId="6380061C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4177530A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19B96B92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796077B5" w14:textId="77777777" w:rsidR="002A16E2" w:rsidRPr="00637339" w:rsidRDefault="002A16E2" w:rsidP="002A16E2">
      <w:pPr>
        <w:spacing w:line="360" w:lineRule="auto"/>
        <w:rPr>
          <w:rFonts w:ascii="Garamond" w:hAnsi="Garamond"/>
          <w:sz w:val="24"/>
          <w:szCs w:val="24"/>
        </w:rPr>
      </w:pPr>
    </w:p>
    <w:p w14:paraId="04DD5963" w14:textId="77777777" w:rsidR="002A16E2" w:rsidRPr="00637339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ABADD8B" w14:textId="77777777" w:rsidR="002A16E2" w:rsidRDefault="002A16E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499766CF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504FF8E0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270B95DF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2816674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9442CD5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778C62B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3F57217C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CAC5EED" w14:textId="77777777" w:rsidR="00315462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F5B7BF5" w14:textId="77777777" w:rsidR="00315462" w:rsidRPr="00637339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2DD1E847" w14:textId="77777777" w:rsidR="002A16E2" w:rsidRPr="00637339" w:rsidRDefault="002A16E2" w:rsidP="002A16E2">
      <w:pPr>
        <w:spacing w:line="360" w:lineRule="auto"/>
        <w:rPr>
          <w:rFonts w:ascii="Garamond" w:hAnsi="Garamond"/>
          <w:b/>
          <w:sz w:val="24"/>
          <w:szCs w:val="24"/>
        </w:rPr>
      </w:pPr>
      <w:r w:rsidRPr="00637339">
        <w:rPr>
          <w:rFonts w:ascii="Garamond" w:hAnsi="Garamond"/>
          <w:b/>
          <w:sz w:val="24"/>
          <w:szCs w:val="24"/>
        </w:rPr>
        <w:t>_____________________________________________________________________</w:t>
      </w:r>
    </w:p>
    <w:p w14:paraId="68C8A9E8" w14:textId="5A8B4BA6" w:rsidR="002A16E2" w:rsidRPr="00637339" w:rsidRDefault="00315462" w:rsidP="002A16E2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Warka,</w:t>
      </w:r>
      <w:r w:rsidR="002A16E2" w:rsidRPr="00637339">
        <w:rPr>
          <w:rFonts w:ascii="Garamond" w:hAnsi="Garamond"/>
          <w:b/>
          <w:sz w:val="24"/>
          <w:szCs w:val="24"/>
        </w:rPr>
        <w:t xml:space="preserve"> </w:t>
      </w:r>
      <w:r w:rsidR="002A16E2">
        <w:rPr>
          <w:rFonts w:ascii="Garamond" w:hAnsi="Garamond"/>
          <w:b/>
          <w:sz w:val="24"/>
          <w:szCs w:val="24"/>
        </w:rPr>
        <w:t xml:space="preserve">2019 </w:t>
      </w:r>
      <w:r w:rsidR="002A16E2" w:rsidRPr="00637339">
        <w:rPr>
          <w:rFonts w:ascii="Garamond" w:hAnsi="Garamond"/>
          <w:b/>
          <w:sz w:val="24"/>
          <w:szCs w:val="24"/>
        </w:rPr>
        <w:t xml:space="preserve"> r.</w:t>
      </w:r>
    </w:p>
    <w:p w14:paraId="74B9BCD0" w14:textId="13AF2D44" w:rsidR="002A16E2" w:rsidRPr="00315462" w:rsidRDefault="002A16E2" w:rsidP="00315462">
      <w:pPr>
        <w:spacing w:after="160" w:line="259" w:lineRule="auto"/>
        <w:jc w:val="center"/>
        <w:rPr>
          <w:rFonts w:ascii="Garamond" w:hAnsi="Garamond"/>
          <w:b/>
          <w:sz w:val="24"/>
          <w:szCs w:val="24"/>
        </w:rPr>
      </w:pPr>
      <w:bookmarkStart w:id="1" w:name="_Toc296677807"/>
      <w:r>
        <w:rPr>
          <w:rFonts w:ascii="Garamond" w:hAnsi="Garamond"/>
          <w:sz w:val="24"/>
          <w:szCs w:val="24"/>
        </w:rPr>
        <w:br w:type="page"/>
      </w:r>
      <w:r w:rsidRPr="00315462">
        <w:rPr>
          <w:rFonts w:ascii="Garamond" w:hAnsi="Garamond"/>
          <w:b/>
          <w:sz w:val="24"/>
          <w:szCs w:val="24"/>
        </w:rPr>
        <w:lastRenderedPageBreak/>
        <w:t>Wprowadzenie</w:t>
      </w:r>
    </w:p>
    <w:p w14:paraId="148D6F4D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</w:p>
    <w:p w14:paraId="10F39AA4" w14:textId="1FFB5C21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t>W  związku z wdrożeniem przez Komisję Nadzoru Finansowego- Zasad Ładu Korpo</w:t>
      </w:r>
      <w:r w:rsidR="00F244F6">
        <w:rPr>
          <w:rFonts w:ascii="Garamond" w:hAnsi="Garamond"/>
          <w:sz w:val="24"/>
          <w:szCs w:val="24"/>
        </w:rPr>
        <w:t xml:space="preserve">racyjnego, Bank Spółdzielczy w Warce z siedzibą w Warce, ul. Warszawska 5, </w:t>
      </w:r>
      <w:r w:rsidRPr="00637339">
        <w:rPr>
          <w:rFonts w:ascii="Garamond" w:hAnsi="Garamond"/>
          <w:sz w:val="24"/>
          <w:szCs w:val="24"/>
        </w:rPr>
        <w:t>zwany dalej „Bankiem”, a takż</w:t>
      </w:r>
      <w:r>
        <w:rPr>
          <w:rFonts w:ascii="Garamond" w:hAnsi="Garamond"/>
          <w:sz w:val="24"/>
          <w:szCs w:val="24"/>
        </w:rPr>
        <w:t>e</w:t>
      </w:r>
      <w:r w:rsidRPr="00637339">
        <w:rPr>
          <w:rFonts w:ascii="Garamond" w:hAnsi="Garamond"/>
          <w:sz w:val="24"/>
          <w:szCs w:val="24"/>
        </w:rPr>
        <w:t xml:space="preserve"> uwzględniając Wytyczne EBA/ GL/2017/11 z dnia 21 marca 2018 r. </w:t>
      </w:r>
      <w:r>
        <w:rPr>
          <w:rFonts w:ascii="Garamond" w:hAnsi="Garamond"/>
          <w:sz w:val="24"/>
          <w:szCs w:val="24"/>
        </w:rPr>
        <w:br/>
      </w:r>
      <w:r w:rsidRPr="00637339">
        <w:rPr>
          <w:rFonts w:ascii="Garamond" w:hAnsi="Garamond"/>
          <w:sz w:val="24"/>
          <w:szCs w:val="24"/>
        </w:rPr>
        <w:t>w sprawie zarządzania wewnętrznego  oświadcza, że poprzez przyjęcie niniejszej Polityki</w:t>
      </w:r>
      <w:r>
        <w:rPr>
          <w:rFonts w:ascii="Garamond" w:hAnsi="Garamond"/>
          <w:sz w:val="24"/>
          <w:szCs w:val="24"/>
        </w:rPr>
        <w:t>,</w:t>
      </w:r>
      <w:r w:rsidRPr="00637339">
        <w:rPr>
          <w:rFonts w:ascii="Garamond" w:hAnsi="Garamond"/>
          <w:sz w:val="24"/>
          <w:szCs w:val="24"/>
        </w:rPr>
        <w:t xml:space="preserve"> wprowadza Zasady Ładu Korporacyjnego określone w dokumencie KNF zgodnie z zasadą proporcjonalności i adekwatności wynikającą ze skali, charakteru działalności oraz specyfiki Banku.</w:t>
      </w:r>
    </w:p>
    <w:p w14:paraId="6C804BDC" w14:textId="77777777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0EB1F4D" w14:textId="61EDF82B" w:rsidR="002A16E2" w:rsidRPr="00252A02" w:rsidRDefault="002A16E2" w:rsidP="002A16E2">
      <w:pPr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>Przy opracowaniu niniejszej Polity</w:t>
      </w:r>
      <w:r w:rsidR="00F244F6">
        <w:rPr>
          <w:rFonts w:ascii="Garamond" w:hAnsi="Garamond"/>
          <w:sz w:val="24"/>
          <w:szCs w:val="24"/>
        </w:rPr>
        <w:t>ki Bank Spółdzielczy w Warce</w:t>
      </w:r>
      <w:r w:rsidRPr="00252A02">
        <w:rPr>
          <w:rFonts w:ascii="Garamond" w:hAnsi="Garamond"/>
          <w:sz w:val="24"/>
          <w:szCs w:val="24"/>
        </w:rPr>
        <w:t xml:space="preserve"> jako instytucja nadzorowana, podlegająca wymogom określonym w Wytycznych EBA i ESMA  wziął pod uwagę następujące czynniki: </w:t>
      </w:r>
    </w:p>
    <w:p w14:paraId="271C8180" w14:textId="015677EB" w:rsidR="002A16E2" w:rsidRPr="00252A02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 xml:space="preserve">swój rozmiar, </w:t>
      </w:r>
    </w:p>
    <w:p w14:paraId="0BA0CBA4" w14:textId="77777777" w:rsidR="002A16E2" w:rsidRPr="00252A02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>swoją organizację wewnętrzną, a w szczególności, iż Bank działa w formie spółdzielni na podstawie ustawy o funkcjonowaniu banków spółdzielczych, ich zrzeszaniu się i bankach zrzeszających oraz ustawy Prawo spółdzielcze</w:t>
      </w:r>
      <w:r>
        <w:rPr>
          <w:rFonts w:ascii="Garamond" w:hAnsi="Garamond"/>
          <w:sz w:val="24"/>
          <w:szCs w:val="24"/>
        </w:rPr>
        <w:t xml:space="preserve"> oraz ustawy Prawo bankowe</w:t>
      </w:r>
      <w:r w:rsidRPr="00252A02">
        <w:rPr>
          <w:rFonts w:ascii="Garamond" w:hAnsi="Garamond"/>
          <w:sz w:val="24"/>
          <w:szCs w:val="24"/>
        </w:rPr>
        <w:t>,</w:t>
      </w:r>
    </w:p>
    <w:p w14:paraId="32B118A3" w14:textId="77777777" w:rsidR="002A16E2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52A02">
        <w:rPr>
          <w:rFonts w:ascii="Garamond" w:hAnsi="Garamond"/>
          <w:sz w:val="24"/>
          <w:szCs w:val="24"/>
        </w:rPr>
        <w:t>charakter skalę i stopień złożoności prowadzonej działalności, w szczególności fakt, iż wykonuje czynności bankowe objęte zezwoleniem organu nadzorczego oraz określonych statutem.</w:t>
      </w:r>
    </w:p>
    <w:p w14:paraId="4F0AF8AF" w14:textId="1EA1CEBD" w:rsidR="002A16E2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okoliczność, iż Bank nie jest notowany na giełdzie; </w:t>
      </w:r>
      <w:r w:rsidR="00E952D7">
        <w:rPr>
          <w:rFonts w:ascii="Garamond" w:hAnsi="Garamond"/>
          <w:sz w:val="24"/>
          <w:szCs w:val="24"/>
        </w:rPr>
        <w:t>posiada/nie posiada … papiery wartościowe na rynku równoległym GPW</w:t>
      </w:r>
    </w:p>
    <w:p w14:paraId="77D4FC28" w14:textId="26FDBDDE" w:rsidR="002A16E2" w:rsidRPr="00380E1F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>okolicznoś</w:t>
      </w:r>
      <w:r w:rsidR="00F244F6">
        <w:rPr>
          <w:rFonts w:ascii="Garamond" w:hAnsi="Garamond"/>
          <w:sz w:val="24"/>
          <w:szCs w:val="24"/>
        </w:rPr>
        <w:t>ć, iż Bank Spółdzielczy w Warce</w:t>
      </w:r>
      <w:r w:rsidRPr="00380E1F">
        <w:rPr>
          <w:rFonts w:ascii="Garamond" w:hAnsi="Garamond"/>
          <w:sz w:val="24"/>
          <w:szCs w:val="24"/>
        </w:rPr>
        <w:t xml:space="preserve"> działa wyłącznie w środowisku lokalnym na terenie </w:t>
      </w:r>
      <w:r w:rsidR="00F244F6">
        <w:rPr>
          <w:rFonts w:ascii="Garamond" w:hAnsi="Garamond"/>
          <w:sz w:val="24"/>
          <w:szCs w:val="24"/>
        </w:rPr>
        <w:t>województwa mazowieckiego</w:t>
      </w:r>
      <w:r w:rsidRPr="00380E1F">
        <w:rPr>
          <w:rFonts w:ascii="Garamond" w:hAnsi="Garamond"/>
          <w:sz w:val="24"/>
          <w:szCs w:val="24"/>
        </w:rPr>
        <w:t xml:space="preserve"> oferując produkty głównie konsumentom, niewielkim przedsiębiorcom oraz osobom prowadzącym działalność rolniczą, lub działalność innego rodzaju na szczeblu lokalnym </w:t>
      </w:r>
    </w:p>
    <w:p w14:paraId="40DA85A4" w14:textId="77777777" w:rsidR="002A16E2" w:rsidRPr="00380E1F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 xml:space="preserve">okoliczność, iż Bank realizuje strategię zrzeszenia i systemu ochrony </w:t>
      </w:r>
    </w:p>
    <w:p w14:paraId="1A45A8D7" w14:textId="77777777" w:rsidR="002A16E2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 xml:space="preserve">okoliczność, iż Bank oferuje produkty kredytowe i depozytowe o nieznacznym stopniu złożoności, </w:t>
      </w:r>
    </w:p>
    <w:p w14:paraId="7D6B05C9" w14:textId="7A8F6567" w:rsidR="002A16E2" w:rsidRPr="00380E1F" w:rsidRDefault="002A16E2" w:rsidP="0081175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okoliczność, iż </w:t>
      </w:r>
      <w:r w:rsidRPr="00380E1F">
        <w:rPr>
          <w:rFonts w:ascii="Garamond" w:hAnsi="Garamond"/>
          <w:sz w:val="24"/>
          <w:szCs w:val="24"/>
        </w:rPr>
        <w:t>struk</w:t>
      </w:r>
      <w:r w:rsidR="00F244F6">
        <w:rPr>
          <w:rFonts w:ascii="Garamond" w:hAnsi="Garamond"/>
          <w:sz w:val="24"/>
          <w:szCs w:val="24"/>
        </w:rPr>
        <w:t>tura organizacyjna obejmuje 3</w:t>
      </w:r>
      <w:r w:rsidRPr="00380E1F">
        <w:rPr>
          <w:rFonts w:ascii="Garamond" w:hAnsi="Garamond"/>
          <w:sz w:val="24"/>
          <w:szCs w:val="24"/>
        </w:rPr>
        <w:t xml:space="preserve"> piony, liczba zatrudnianych </w:t>
      </w:r>
      <w:r w:rsidR="000B3226">
        <w:rPr>
          <w:rFonts w:ascii="Garamond" w:hAnsi="Garamond"/>
          <w:sz w:val="24"/>
          <w:szCs w:val="24"/>
        </w:rPr>
        <w:t>pracowników wynosi 26.</w:t>
      </w:r>
    </w:p>
    <w:p w14:paraId="0DC9ED61" w14:textId="482B4C47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80E1F">
        <w:rPr>
          <w:rFonts w:ascii="Garamond" w:hAnsi="Garamond"/>
          <w:sz w:val="24"/>
          <w:szCs w:val="24"/>
        </w:rPr>
        <w:t>Z uwagi na powyższe Bank Spółdzielczy, kierując się zasadą proporcjonalności wprowadza adekwatny do powyższych czynników</w:t>
      </w:r>
      <w:r>
        <w:rPr>
          <w:rFonts w:ascii="Garamond" w:hAnsi="Garamond"/>
          <w:sz w:val="24"/>
          <w:szCs w:val="24"/>
        </w:rPr>
        <w:t xml:space="preserve"> </w:t>
      </w:r>
      <w:r w:rsidRPr="00637339">
        <w:rPr>
          <w:rFonts w:ascii="Garamond" w:hAnsi="Garamond"/>
          <w:sz w:val="24"/>
          <w:szCs w:val="24"/>
        </w:rPr>
        <w:t xml:space="preserve">zbiór zasad określających relacje wewnętrzne </w:t>
      </w:r>
      <w:r w:rsidRPr="00637339">
        <w:rPr>
          <w:rFonts w:ascii="Garamond" w:hAnsi="Garamond"/>
          <w:sz w:val="24"/>
          <w:szCs w:val="24"/>
        </w:rPr>
        <w:br/>
        <w:t xml:space="preserve">i zewnętrzne  Banku  w tym relacje z udziałowcami Banku i klientami, organizację, funkcjonowanie nadzoru wewnętrznego oraz kluczowych systemów i funkcji wewnętrznych, a także organów statutowych i zasad ich współdziałania. </w:t>
      </w:r>
    </w:p>
    <w:p w14:paraId="16A4515F" w14:textId="77777777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t xml:space="preserve">W treści niniejszego dokumentu wyszczególnione zostały zasady stosowane przez Bank oraz te do stosowania których Bank zobowiązuje się. </w:t>
      </w:r>
    </w:p>
    <w:p w14:paraId="38D266A7" w14:textId="77777777" w:rsidR="002A16E2" w:rsidRPr="00637339" w:rsidRDefault="002A16E2" w:rsidP="002A16E2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AB8F6E5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t xml:space="preserve"> </w:t>
      </w:r>
    </w:p>
    <w:p w14:paraId="24E4B46A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</w:p>
    <w:p w14:paraId="74EA1ED8" w14:textId="77777777" w:rsidR="002A16E2" w:rsidRPr="00637339" w:rsidRDefault="002A16E2" w:rsidP="002A16E2">
      <w:pPr>
        <w:rPr>
          <w:rFonts w:ascii="Garamond" w:hAnsi="Garamond"/>
          <w:sz w:val="24"/>
          <w:szCs w:val="24"/>
        </w:rPr>
      </w:pPr>
      <w:r w:rsidRPr="00637339">
        <w:rPr>
          <w:rFonts w:ascii="Garamond" w:hAnsi="Garamond"/>
          <w:sz w:val="24"/>
          <w:szCs w:val="24"/>
        </w:rPr>
        <w:br w:type="page"/>
      </w:r>
      <w:r w:rsidRPr="00637339">
        <w:rPr>
          <w:rFonts w:ascii="Garamond" w:hAnsi="Garamond"/>
          <w:sz w:val="24"/>
          <w:szCs w:val="24"/>
        </w:rPr>
        <w:lastRenderedPageBreak/>
        <w:t xml:space="preserve"> </w:t>
      </w:r>
    </w:p>
    <w:p w14:paraId="54AE4A97" w14:textId="77777777" w:rsidR="002A16E2" w:rsidRDefault="002A16E2" w:rsidP="002A16E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637339">
        <w:rPr>
          <w:rFonts w:ascii="Garamond" w:hAnsi="Garamond"/>
          <w:b/>
          <w:sz w:val="24"/>
          <w:szCs w:val="24"/>
        </w:rPr>
        <w:t>Rozdział 1</w:t>
      </w:r>
    </w:p>
    <w:p w14:paraId="3D706217" w14:textId="77777777" w:rsidR="002A16E2" w:rsidRDefault="002A16E2" w:rsidP="002A16E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Definicje </w:t>
      </w:r>
    </w:p>
    <w:p w14:paraId="1B6FE107" w14:textId="77777777" w:rsidR="002A16E2" w:rsidRDefault="002A16E2" w:rsidP="002A16E2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2E1886C3" w14:textId="77777777" w:rsidR="002A16E2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51373906" w14:textId="7577C42E" w:rsidR="007237F6" w:rsidRPr="000B3226" w:rsidRDefault="002A16E2" w:rsidP="007237F6">
      <w:pPr>
        <w:spacing w:line="276" w:lineRule="auto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Użyte w niniejszej Regulacji pojęcia oznaczają: </w:t>
      </w:r>
    </w:p>
    <w:p w14:paraId="7AD82C95" w14:textId="1DA1E1F6" w:rsidR="00564BED" w:rsidRPr="007237F6" w:rsidRDefault="002A16E2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Bank – Bank Spółdzielczy w </w:t>
      </w:r>
      <w:r w:rsidR="000B3226">
        <w:rPr>
          <w:rFonts w:ascii="Garamond" w:eastAsia="CIDFont+F5" w:hAnsi="Garamond" w:cs="CIDFont+F3"/>
          <w:sz w:val="24"/>
          <w:szCs w:val="24"/>
        </w:rPr>
        <w:t>Warce</w:t>
      </w:r>
      <w:r w:rsidRPr="007237F6">
        <w:rPr>
          <w:rFonts w:ascii="Garamond" w:eastAsia="CIDFont+F5" w:hAnsi="Garamond" w:cs="CIDFont+F3"/>
          <w:color w:val="FF0000"/>
          <w:sz w:val="24"/>
          <w:szCs w:val="24"/>
        </w:rPr>
        <w:t>,</w:t>
      </w:r>
    </w:p>
    <w:p w14:paraId="52334F22" w14:textId="026293FE" w:rsidR="00564BED" w:rsidRPr="000B3226" w:rsidRDefault="002A16E2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Zrzeszając</w:t>
      </w:r>
      <w:r w:rsidR="000B3226">
        <w:rPr>
          <w:rFonts w:ascii="Garamond" w:hAnsi="Garamond"/>
          <w:sz w:val="24"/>
          <w:szCs w:val="24"/>
        </w:rPr>
        <w:t>y – SGB Bank S.A</w:t>
      </w:r>
      <w:r w:rsidRPr="007237F6">
        <w:rPr>
          <w:rFonts w:ascii="Garamond" w:hAnsi="Garamond"/>
          <w:color w:val="FF0000"/>
          <w:sz w:val="24"/>
          <w:szCs w:val="24"/>
        </w:rPr>
        <w:t>,</w:t>
      </w:r>
    </w:p>
    <w:p w14:paraId="480BD96C" w14:textId="77777777" w:rsidR="000B3226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3"/>
          <w:sz w:val="24"/>
          <w:szCs w:val="24"/>
        </w:rPr>
        <w:t>Cz</w:t>
      </w:r>
      <w:r w:rsidRPr="000B3226">
        <w:rPr>
          <w:rFonts w:ascii="Garamond" w:eastAsia="CIDFont+F5" w:hAnsi="Garamond" w:cs="Tahoma"/>
          <w:sz w:val="24"/>
          <w:szCs w:val="24"/>
        </w:rPr>
        <w:t>ł</w:t>
      </w:r>
      <w:r w:rsidRPr="000B3226">
        <w:rPr>
          <w:rFonts w:ascii="Garamond" w:eastAsia="CIDFont+F5" w:hAnsi="Garamond" w:cs="CIDFont+F3"/>
          <w:sz w:val="24"/>
          <w:szCs w:val="24"/>
        </w:rPr>
        <w:t xml:space="preserve">onek Rady Nadzorczej </w:t>
      </w:r>
      <w:r w:rsidRPr="000B3226">
        <w:rPr>
          <w:rFonts w:ascii="Garamond" w:eastAsia="CIDFont+F5" w:hAnsi="Garamond" w:cs="Tahoma"/>
          <w:sz w:val="24"/>
          <w:szCs w:val="24"/>
        </w:rPr>
        <w:t>–</w:t>
      </w:r>
      <w:r w:rsidRPr="000B3226">
        <w:rPr>
          <w:rFonts w:ascii="Garamond" w:eastAsia="CIDFont+F5" w:hAnsi="Garamond" w:cs="CIDFont+F2"/>
          <w:sz w:val="24"/>
          <w:szCs w:val="24"/>
        </w:rPr>
        <w:t xml:space="preserve"> cz</w:t>
      </w:r>
      <w:r w:rsidRPr="000B3226">
        <w:rPr>
          <w:rFonts w:ascii="Garamond" w:eastAsia="CIDFont+F5" w:hAnsi="Garamond" w:cs="Tahoma"/>
          <w:sz w:val="24"/>
          <w:szCs w:val="24"/>
        </w:rPr>
        <w:t>ł</w:t>
      </w:r>
      <w:r w:rsidRPr="000B3226">
        <w:rPr>
          <w:rFonts w:ascii="Garamond" w:eastAsia="CIDFont+F5" w:hAnsi="Garamond" w:cs="CIDFont+F2"/>
          <w:sz w:val="24"/>
          <w:szCs w:val="24"/>
        </w:rPr>
        <w:t xml:space="preserve">onek Rady Nadzorczej </w:t>
      </w:r>
      <w:r w:rsidR="000B3226" w:rsidRPr="000B3226">
        <w:rPr>
          <w:rFonts w:ascii="Garamond" w:eastAsia="CIDFont+F5" w:hAnsi="Garamond" w:cs="CIDFont+F2"/>
          <w:sz w:val="24"/>
          <w:szCs w:val="24"/>
        </w:rPr>
        <w:t xml:space="preserve">Banku Spółdzielczego </w:t>
      </w:r>
      <w:r w:rsidR="000B3226">
        <w:rPr>
          <w:rFonts w:ascii="Garamond" w:eastAsia="CIDFont+F5" w:hAnsi="Garamond" w:cs="CIDFont+F2"/>
          <w:sz w:val="24"/>
          <w:szCs w:val="24"/>
        </w:rPr>
        <w:t xml:space="preserve">  </w:t>
      </w:r>
    </w:p>
    <w:p w14:paraId="156FA0B3" w14:textId="7E291167" w:rsidR="00564BED" w:rsidRPr="000B3226" w:rsidRDefault="000B3226" w:rsidP="000B3226">
      <w:pPr>
        <w:pStyle w:val="Akapitzlist"/>
        <w:ind w:left="99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eastAsia="CIDFont+F5" w:hAnsi="Garamond" w:cs="CIDFont+F2"/>
          <w:sz w:val="24"/>
          <w:szCs w:val="24"/>
        </w:rPr>
        <w:t xml:space="preserve">       </w:t>
      </w:r>
      <w:r w:rsidRPr="000B3226">
        <w:rPr>
          <w:rFonts w:ascii="Garamond" w:eastAsia="CIDFont+F5" w:hAnsi="Garamond" w:cs="CIDFont+F2"/>
          <w:sz w:val="24"/>
          <w:szCs w:val="24"/>
        </w:rPr>
        <w:t>w </w:t>
      </w:r>
      <w:r>
        <w:rPr>
          <w:rFonts w:ascii="Garamond" w:eastAsia="CIDFont+F5" w:hAnsi="Garamond" w:cs="CIDFont+F2"/>
          <w:sz w:val="24"/>
          <w:szCs w:val="24"/>
        </w:rPr>
        <w:t xml:space="preserve"> </w:t>
      </w:r>
      <w:r w:rsidRPr="000B3226">
        <w:rPr>
          <w:rFonts w:ascii="Garamond" w:eastAsia="CIDFont+F5" w:hAnsi="Garamond" w:cs="CIDFont+F2"/>
          <w:sz w:val="24"/>
          <w:szCs w:val="24"/>
        </w:rPr>
        <w:t>Warce,</w:t>
      </w:r>
    </w:p>
    <w:p w14:paraId="7674A23B" w14:textId="089BBFE7" w:rsidR="00564BED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2"/>
          <w:sz w:val="24"/>
          <w:szCs w:val="24"/>
        </w:rPr>
        <w:t>KN</w:t>
      </w:r>
      <w:r w:rsidR="000B3226">
        <w:rPr>
          <w:rFonts w:ascii="Garamond" w:eastAsia="CIDFont+F5" w:hAnsi="Garamond" w:cs="CIDFont+F2"/>
          <w:sz w:val="24"/>
          <w:szCs w:val="24"/>
        </w:rPr>
        <w:t>F – Komisja Nadzoru Finansowego;</w:t>
      </w:r>
    </w:p>
    <w:p w14:paraId="73809BE7" w14:textId="43787784" w:rsidR="00564BED" w:rsidRPr="000B3226" w:rsidRDefault="000B3226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3"/>
          <w:sz w:val="24"/>
          <w:szCs w:val="24"/>
        </w:rPr>
        <w:t>K</w:t>
      </w:r>
      <w:r w:rsidR="002A16E2" w:rsidRPr="000B3226">
        <w:rPr>
          <w:rFonts w:ascii="Garamond" w:eastAsia="CIDFont+F5" w:hAnsi="Garamond" w:cs="CIDFont+F3"/>
          <w:sz w:val="24"/>
          <w:szCs w:val="24"/>
        </w:rPr>
        <w:t xml:space="preserve">walifikacje </w:t>
      </w:r>
      <w:r w:rsidR="002A16E2" w:rsidRPr="000B3226">
        <w:rPr>
          <w:rFonts w:ascii="Garamond" w:eastAsia="CIDFont+F5" w:hAnsi="Garamond" w:cs="Tahoma"/>
          <w:sz w:val="24"/>
          <w:szCs w:val="24"/>
        </w:rPr>
        <w:t>–</w:t>
      </w:r>
      <w:r w:rsidR="002A16E2" w:rsidRPr="000B3226">
        <w:rPr>
          <w:rFonts w:ascii="Garamond" w:eastAsia="CIDFont+F5" w:hAnsi="Garamond" w:cs="CIDFont+F2"/>
          <w:sz w:val="24"/>
          <w:szCs w:val="24"/>
        </w:rPr>
        <w:t xml:space="preserve"> wykszta</w:t>
      </w:r>
      <w:r w:rsidR="002A16E2" w:rsidRPr="000B3226">
        <w:rPr>
          <w:rFonts w:ascii="Garamond" w:eastAsia="CIDFont+F5" w:hAnsi="Garamond" w:cs="Tahoma"/>
          <w:sz w:val="24"/>
          <w:szCs w:val="24"/>
        </w:rPr>
        <w:t>ł</w:t>
      </w:r>
      <w:r w:rsidR="002A16E2" w:rsidRPr="000B3226">
        <w:rPr>
          <w:rFonts w:ascii="Garamond" w:eastAsia="CIDFont+F5" w:hAnsi="Garamond" w:cs="CIDFont+F2"/>
          <w:sz w:val="24"/>
          <w:szCs w:val="24"/>
        </w:rPr>
        <w:t>cenie, wiedza, umiej</w:t>
      </w:r>
      <w:r w:rsidR="002A16E2" w:rsidRPr="000B3226">
        <w:rPr>
          <w:rFonts w:ascii="Garamond" w:eastAsia="CIDFont+F5" w:hAnsi="Garamond" w:cs="Tahoma"/>
          <w:sz w:val="24"/>
          <w:szCs w:val="24"/>
        </w:rPr>
        <w:t>ę</w:t>
      </w:r>
      <w:r w:rsidR="002A16E2" w:rsidRPr="000B3226">
        <w:rPr>
          <w:rFonts w:ascii="Garamond" w:eastAsia="CIDFont+F5" w:hAnsi="Garamond" w:cs="CIDFont+F2"/>
          <w:sz w:val="24"/>
          <w:szCs w:val="24"/>
        </w:rPr>
        <w:t>tno</w:t>
      </w:r>
      <w:r w:rsidR="002A16E2" w:rsidRPr="000B3226">
        <w:rPr>
          <w:rFonts w:ascii="Garamond" w:eastAsia="CIDFont+F5" w:hAnsi="Garamond" w:cs="Tahoma"/>
          <w:sz w:val="24"/>
          <w:szCs w:val="24"/>
        </w:rPr>
        <w:t>ś</w:t>
      </w:r>
      <w:r w:rsidR="002A16E2" w:rsidRPr="000B3226">
        <w:rPr>
          <w:rFonts w:ascii="Garamond" w:eastAsia="CIDFont+F5" w:hAnsi="Garamond" w:cs="CIDFont+F2"/>
          <w:sz w:val="24"/>
          <w:szCs w:val="24"/>
        </w:rPr>
        <w:t>ci i do</w:t>
      </w:r>
      <w:r w:rsidR="002A16E2" w:rsidRPr="000B3226">
        <w:rPr>
          <w:rFonts w:ascii="Garamond" w:eastAsia="CIDFont+F5" w:hAnsi="Garamond" w:cs="Tahoma"/>
          <w:sz w:val="24"/>
          <w:szCs w:val="24"/>
        </w:rPr>
        <w:t>ś</w:t>
      </w:r>
      <w:r w:rsidR="002A16E2" w:rsidRPr="000B3226">
        <w:rPr>
          <w:rFonts w:ascii="Garamond" w:eastAsia="CIDFont+F5" w:hAnsi="Garamond" w:cs="CIDFont+F2"/>
          <w:sz w:val="24"/>
          <w:szCs w:val="24"/>
        </w:rPr>
        <w:t>wiadczenie;</w:t>
      </w:r>
    </w:p>
    <w:p w14:paraId="27E9F178" w14:textId="06F17715" w:rsidR="00564BED" w:rsidRPr="000B3226" w:rsidRDefault="000B3226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eastAsia="CIDFont+F5" w:hAnsi="Garamond" w:cs="CIDFont+F3"/>
          <w:sz w:val="24"/>
          <w:szCs w:val="24"/>
        </w:rPr>
        <w:t xml:space="preserve"> </w:t>
      </w:r>
      <w:r w:rsidRPr="000B3226">
        <w:rPr>
          <w:rFonts w:ascii="Garamond" w:eastAsia="CIDFont+F5" w:hAnsi="Garamond" w:cs="CIDFont+F3"/>
          <w:sz w:val="24"/>
          <w:szCs w:val="24"/>
        </w:rPr>
        <w:t>K</w:t>
      </w:r>
      <w:r w:rsidR="002A16E2" w:rsidRPr="000B3226">
        <w:rPr>
          <w:rFonts w:ascii="Garamond" w:eastAsia="CIDFont+F5" w:hAnsi="Garamond" w:cs="CIDFont+F3"/>
          <w:sz w:val="24"/>
          <w:szCs w:val="24"/>
        </w:rPr>
        <w:t>ierownik komórki kontroli wewnętrznej –</w:t>
      </w:r>
      <w:r w:rsidR="002A16E2" w:rsidRPr="000B3226">
        <w:rPr>
          <w:rFonts w:ascii="Garamond" w:eastAsia="CIDFont+F5" w:hAnsi="Garamond" w:cs="CIDFont+F2"/>
          <w:sz w:val="24"/>
          <w:szCs w:val="24"/>
        </w:rPr>
        <w:t xml:space="preserve"> osoba na najwyższym szczeblu hierarchii odpowiedzialna za skuteczne zarządzanie codziennym funkcjonowaniem niezależnych komórek ds. zarządzania ryzykiem oraz komórki ds. zgodności</w:t>
      </w:r>
      <w:r w:rsidRPr="000B3226">
        <w:rPr>
          <w:rFonts w:ascii="Garamond" w:eastAsia="CIDFont+F5" w:hAnsi="Garamond" w:cs="CIDFont+F2"/>
          <w:sz w:val="24"/>
          <w:szCs w:val="24"/>
        </w:rPr>
        <w:t>;</w:t>
      </w:r>
    </w:p>
    <w:p w14:paraId="54E14882" w14:textId="21FC4746" w:rsidR="00564BED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3"/>
          <w:sz w:val="24"/>
          <w:szCs w:val="24"/>
        </w:rPr>
        <w:t>Kultura ryzyka –</w:t>
      </w:r>
      <w:r w:rsidRPr="000B3226">
        <w:rPr>
          <w:rFonts w:ascii="Garamond" w:eastAsia="CIDFont+F5" w:hAnsi="Garamond" w:cs="CIDFont+F2"/>
          <w:sz w:val="24"/>
          <w:szCs w:val="24"/>
        </w:rPr>
        <w:t xml:space="preserve"> obowiązujące w Banku normy, postawy i zachowania odnoszące się do świadomości ryzyka, podejmowania przez Bank ryzyka oraz zarządzania ryzykiem, a</w:t>
      </w:r>
      <w:r w:rsidR="00925E36" w:rsidRPr="000B3226">
        <w:rPr>
          <w:rFonts w:ascii="Garamond" w:eastAsia="CIDFont+F5" w:hAnsi="Garamond" w:cs="CIDFont+F2"/>
          <w:sz w:val="24"/>
          <w:szCs w:val="24"/>
        </w:rPr>
        <w:t> </w:t>
      </w:r>
      <w:r w:rsidRPr="000B3226">
        <w:rPr>
          <w:rFonts w:ascii="Garamond" w:eastAsia="CIDFont+F5" w:hAnsi="Garamond" w:cs="CIDFont+F2"/>
          <w:sz w:val="24"/>
          <w:szCs w:val="24"/>
        </w:rPr>
        <w:t>także mechanizmów kontrolnych kształtujących decyzje dotyczące ryzyka, wypływające na decyzje podejmowane przez kierownictwo i pracowników w trakcie bieżącej działalności oraz mające wpływ na podejmowane przez nich ryzyko;</w:t>
      </w:r>
    </w:p>
    <w:p w14:paraId="61A77ABE" w14:textId="77777777" w:rsidR="00564BED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2"/>
          <w:sz w:val="24"/>
          <w:szCs w:val="24"/>
        </w:rPr>
        <w:t>Niezależność osądu – wzorzec zachowania, przejawiający się w szczególności podczas dyskusji oraz podejmowania decyzji w ramach organów zarządzających, wymagany od każdego członka organu zarządzającego, bez względu na to, czy uważa się go za „będącego niezależnym”, mający zapewnić aktywne zaangażowanie w obowiązki, podejmowanie własnych, rozsądnych, obiektywnych i niezależnych decyzji i opinii przy wykonywaniu funkcji i obowiązków członka organu zarządzającego;</w:t>
      </w:r>
    </w:p>
    <w:p w14:paraId="711CAADB" w14:textId="77777777" w:rsidR="00564BED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2"/>
          <w:sz w:val="24"/>
          <w:szCs w:val="24"/>
        </w:rPr>
        <w:t xml:space="preserve">Osoby pełniące najważniejsze funkcje – osoby mające znaczący wpływ na kierunek działania Banku, ale niebędące członkami Zarządu, w tym: osoby kierujące komórką ds. kontroli wewnętrznej, a także inne osoby pełniące najważniejsze funkcje, jeżeli zostały one zidentyfikowane przez instytucje w wyniku analizy ryzyka; </w:t>
      </w:r>
    </w:p>
    <w:p w14:paraId="73D3799C" w14:textId="40FF3279" w:rsidR="00564BED" w:rsidRPr="000B3226" w:rsidRDefault="000B3226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2"/>
          <w:sz w:val="24"/>
          <w:szCs w:val="24"/>
        </w:rPr>
        <w:t>P</w:t>
      </w:r>
      <w:r w:rsidR="002A16E2" w:rsidRPr="000B3226">
        <w:rPr>
          <w:rFonts w:ascii="Garamond" w:eastAsia="CIDFont+F5" w:hAnsi="Garamond" w:cs="CIDFont+F2"/>
          <w:sz w:val="24"/>
          <w:szCs w:val="24"/>
        </w:rPr>
        <w:t>racownicy – wszyscy pracownicy Banku oraz wszyscy człon</w:t>
      </w:r>
      <w:r>
        <w:rPr>
          <w:rFonts w:ascii="Garamond" w:eastAsia="CIDFont+F5" w:hAnsi="Garamond" w:cs="CIDFont+F2"/>
          <w:sz w:val="24"/>
          <w:szCs w:val="24"/>
        </w:rPr>
        <w:t>kowie Zarządu i Rady Nadzorczej;</w:t>
      </w:r>
    </w:p>
    <w:p w14:paraId="12ED3ECD" w14:textId="77777777" w:rsidR="00564BED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3"/>
          <w:sz w:val="24"/>
          <w:szCs w:val="24"/>
        </w:rPr>
        <w:t xml:space="preserve">Prawo bankowe </w:t>
      </w:r>
      <w:r w:rsidRPr="000B3226">
        <w:rPr>
          <w:rFonts w:ascii="Garamond" w:eastAsia="CIDFont+F5" w:hAnsi="Garamond" w:cs="Tahoma"/>
          <w:sz w:val="24"/>
          <w:szCs w:val="24"/>
        </w:rPr>
        <w:t>–</w:t>
      </w:r>
      <w:r w:rsidRPr="000B3226">
        <w:rPr>
          <w:rFonts w:ascii="Garamond" w:eastAsia="CIDFont+F5" w:hAnsi="Garamond" w:cs="CIDFont+F2"/>
          <w:sz w:val="24"/>
          <w:szCs w:val="24"/>
        </w:rPr>
        <w:t xml:space="preserve"> Ustawa z dnia 29 sierpnia 1997 r. Prawo bankowe;</w:t>
      </w:r>
    </w:p>
    <w:p w14:paraId="328EEBF5" w14:textId="23161AD1" w:rsidR="00564BED" w:rsidRPr="000B3226" w:rsidRDefault="002A16E2" w:rsidP="000B3226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b/>
          <w:sz w:val="24"/>
          <w:szCs w:val="24"/>
        </w:rPr>
      </w:pPr>
      <w:r w:rsidRPr="000B3226">
        <w:rPr>
          <w:rFonts w:ascii="Garamond" w:eastAsia="CIDFont+F5" w:hAnsi="Garamond" w:cs="CIDFont+F3"/>
          <w:sz w:val="24"/>
          <w:szCs w:val="24"/>
        </w:rPr>
        <w:t xml:space="preserve">Rada Nadzorcza </w:t>
      </w:r>
      <w:r w:rsidRPr="000B3226">
        <w:rPr>
          <w:rFonts w:ascii="Garamond" w:eastAsia="CIDFont+F5" w:hAnsi="Garamond" w:cs="Tahoma"/>
          <w:sz w:val="24"/>
          <w:szCs w:val="24"/>
        </w:rPr>
        <w:t>–</w:t>
      </w:r>
      <w:r w:rsidRPr="000B3226">
        <w:rPr>
          <w:rFonts w:ascii="Garamond" w:eastAsia="CIDFont+F5" w:hAnsi="Garamond" w:cs="CIDFont+F2"/>
          <w:sz w:val="24"/>
          <w:szCs w:val="24"/>
        </w:rPr>
        <w:t xml:space="preserve"> Rada Nadzorcza Banku Spółdzielczego</w:t>
      </w:r>
      <w:r w:rsidR="000B3226" w:rsidRPr="000B3226">
        <w:rPr>
          <w:rFonts w:ascii="Garamond" w:eastAsia="CIDFont+F5" w:hAnsi="Garamond" w:cs="CIDFont+F2"/>
          <w:sz w:val="24"/>
          <w:szCs w:val="24"/>
        </w:rPr>
        <w:t xml:space="preserve"> w Warce</w:t>
      </w:r>
      <w:r w:rsidR="006F6248" w:rsidRPr="000B3226">
        <w:rPr>
          <w:rFonts w:ascii="Garamond" w:eastAsia="CIDFont+F5" w:hAnsi="Garamond" w:cs="CIDFont+F2"/>
          <w:sz w:val="24"/>
          <w:szCs w:val="24"/>
        </w:rPr>
        <w:t>, organ zarządzający pełniący funkcję kontrolną</w:t>
      </w:r>
      <w:r w:rsidRPr="000B3226">
        <w:rPr>
          <w:rFonts w:ascii="Garamond" w:eastAsia="CIDFont+F5" w:hAnsi="Garamond" w:cs="CIDFont+F2"/>
          <w:sz w:val="24"/>
          <w:szCs w:val="24"/>
        </w:rPr>
        <w:t>;</w:t>
      </w:r>
    </w:p>
    <w:p w14:paraId="2FFED34C" w14:textId="424F6981" w:rsidR="00564BED" w:rsidRPr="007237F6" w:rsidRDefault="002A16E2" w:rsidP="00811754">
      <w:pPr>
        <w:numPr>
          <w:ilvl w:val="2"/>
          <w:numId w:val="3"/>
        </w:numPr>
        <w:spacing w:after="200" w:line="276" w:lineRule="auto"/>
        <w:ind w:left="993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Rynek lokalny – teren działania  banku, określony granicami kraju/ województwa/powiatu</w:t>
      </w:r>
      <w:r w:rsidR="000B3226">
        <w:rPr>
          <w:rFonts w:ascii="Garamond" w:eastAsia="CIDFont+F5" w:hAnsi="Garamond" w:cs="CIDFont+F2"/>
          <w:sz w:val="24"/>
          <w:szCs w:val="24"/>
        </w:rPr>
        <w:t>;</w:t>
      </w:r>
    </w:p>
    <w:p w14:paraId="5DFCD46A" w14:textId="08E8CB1B" w:rsidR="00564BED" w:rsidRPr="007237F6" w:rsidRDefault="002A16E2" w:rsidP="00811754">
      <w:pPr>
        <w:numPr>
          <w:ilvl w:val="2"/>
          <w:numId w:val="3"/>
        </w:numPr>
        <w:spacing w:after="200" w:line="276" w:lineRule="auto"/>
        <w:ind w:left="993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2"/>
          <w:sz w:val="24"/>
          <w:szCs w:val="24"/>
        </w:rPr>
        <w:t>Skłonność do podejmowania ryzyka – łączny poziom i rodzaje ryzyka, jakie Bank jest skłonny podejmować w ramach swojej zdolności do ponoszenia ryzyka, zgodnie z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modelem działalności, w celu realizacji swoich celów strategicznych;</w:t>
      </w:r>
    </w:p>
    <w:p w14:paraId="476DBD20" w14:textId="3C168443" w:rsidR="00564BED" w:rsidRPr="007237F6" w:rsidRDefault="002A16E2" w:rsidP="00811754">
      <w:pPr>
        <w:numPr>
          <w:ilvl w:val="2"/>
          <w:numId w:val="3"/>
        </w:numPr>
        <w:spacing w:after="200" w:line="276" w:lineRule="auto"/>
        <w:ind w:left="993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 xml:space="preserve">Wytyczne EBA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Wytyczne Europejskiego Urz</w:t>
      </w:r>
      <w:r w:rsidRPr="007237F6">
        <w:rPr>
          <w:rFonts w:ascii="Garamond" w:eastAsia="CIDFont+F5" w:hAnsi="Garamond" w:cs="Tahoma"/>
          <w:sz w:val="24"/>
          <w:szCs w:val="24"/>
        </w:rPr>
        <w:t>ę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du Nadzoru Bankowego z dnia </w:t>
      </w:r>
      <w:r w:rsidRPr="007237F6">
        <w:rPr>
          <w:rFonts w:ascii="Garamond" w:hAnsi="Garamond" w:cs="CIDFont+F2"/>
          <w:sz w:val="24"/>
          <w:szCs w:val="24"/>
        </w:rPr>
        <w:t>21</w:t>
      </w:r>
      <w:r w:rsidR="00925E36">
        <w:rPr>
          <w:rFonts w:ascii="Garamond" w:hAnsi="Garamond" w:cs="CIDFont+F2"/>
          <w:sz w:val="24"/>
          <w:szCs w:val="24"/>
        </w:rPr>
        <w:t> </w:t>
      </w:r>
      <w:r w:rsidRPr="007237F6">
        <w:rPr>
          <w:rFonts w:ascii="Garamond" w:hAnsi="Garamond" w:cs="CIDFont+F2"/>
          <w:sz w:val="24"/>
          <w:szCs w:val="24"/>
        </w:rPr>
        <w:t xml:space="preserve">marca 2018 r. </w:t>
      </w:r>
      <w:r w:rsidRPr="007237F6">
        <w:rPr>
          <w:rFonts w:ascii="Garamond" w:hAnsi="Garamond"/>
          <w:sz w:val="24"/>
          <w:szCs w:val="24"/>
        </w:rPr>
        <w:t xml:space="preserve">w sprawie zarządzania wewnętrznego </w:t>
      </w:r>
    </w:p>
    <w:p w14:paraId="57FD4D90" w14:textId="7AE559B7" w:rsidR="00564BED" w:rsidRPr="007237F6" w:rsidRDefault="002A16E2" w:rsidP="00811754">
      <w:pPr>
        <w:numPr>
          <w:ilvl w:val="2"/>
          <w:numId w:val="3"/>
        </w:numPr>
        <w:spacing w:after="200" w:line="276" w:lineRule="auto"/>
        <w:ind w:left="993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t>Zarz</w:t>
      </w:r>
      <w:r w:rsidRPr="007237F6">
        <w:rPr>
          <w:rFonts w:ascii="Garamond" w:eastAsia="CIDFont+F5" w:hAnsi="Garamond" w:cs="Tahoma"/>
          <w:sz w:val="24"/>
          <w:szCs w:val="24"/>
        </w:rPr>
        <w:t>ą</w:t>
      </w:r>
      <w:r w:rsidRPr="007237F6">
        <w:rPr>
          <w:rFonts w:ascii="Garamond" w:eastAsia="CIDFont+F5" w:hAnsi="Garamond" w:cs="CIDFont+F3"/>
          <w:sz w:val="24"/>
          <w:szCs w:val="24"/>
        </w:rPr>
        <w:t xml:space="preserve">d </w:t>
      </w:r>
      <w:r w:rsidRPr="007237F6">
        <w:rPr>
          <w:rFonts w:ascii="Garamond" w:eastAsia="CIDFont+F5" w:hAnsi="Garamond" w:cs="Tahoma"/>
          <w:sz w:val="24"/>
          <w:szCs w:val="24"/>
        </w:rPr>
        <w:t>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Zarz</w:t>
      </w:r>
      <w:r w:rsidRPr="007237F6">
        <w:rPr>
          <w:rFonts w:ascii="Garamond" w:eastAsia="CIDFont+F5" w:hAnsi="Garamond" w:cs="Tahoma"/>
          <w:sz w:val="24"/>
          <w:szCs w:val="24"/>
        </w:rPr>
        <w:t>ą</w:t>
      </w:r>
      <w:r w:rsidRPr="007237F6">
        <w:rPr>
          <w:rFonts w:ascii="Garamond" w:eastAsia="CIDFont+F5" w:hAnsi="Garamond" w:cs="CIDFont+F2"/>
          <w:sz w:val="24"/>
          <w:szCs w:val="24"/>
        </w:rPr>
        <w:t>d Banku Spółdzielczeg</w:t>
      </w:r>
      <w:r w:rsidR="000B3226">
        <w:rPr>
          <w:rFonts w:ascii="Garamond" w:eastAsia="CIDFont+F5" w:hAnsi="Garamond" w:cs="CIDFont+F2"/>
          <w:sz w:val="24"/>
          <w:szCs w:val="24"/>
        </w:rPr>
        <w:t>o w Warce</w:t>
      </w:r>
      <w:r w:rsidR="006F6248">
        <w:rPr>
          <w:rFonts w:ascii="Garamond" w:eastAsia="CIDFont+F5" w:hAnsi="Garamond" w:cs="CIDFont+F2"/>
          <w:sz w:val="24"/>
          <w:szCs w:val="24"/>
        </w:rPr>
        <w:t>, organ zarządzający pełniący funkcję wykonawczą</w:t>
      </w:r>
      <w:r w:rsidRPr="007237F6">
        <w:rPr>
          <w:rFonts w:ascii="Garamond" w:eastAsia="CIDFont+F5" w:hAnsi="Garamond" w:cs="CIDFont+F2"/>
          <w:sz w:val="24"/>
          <w:szCs w:val="24"/>
        </w:rPr>
        <w:t>.;</w:t>
      </w:r>
    </w:p>
    <w:p w14:paraId="0BEDF97F" w14:textId="49D4FCAE" w:rsidR="002A16E2" w:rsidRPr="000B3226" w:rsidRDefault="002A16E2" w:rsidP="000B3226">
      <w:pPr>
        <w:numPr>
          <w:ilvl w:val="2"/>
          <w:numId w:val="3"/>
        </w:numPr>
        <w:spacing w:after="200" w:line="276" w:lineRule="auto"/>
        <w:ind w:left="993"/>
        <w:contextualSpacing/>
        <w:jc w:val="both"/>
        <w:rPr>
          <w:rFonts w:ascii="Garamond" w:hAnsi="Garamond"/>
          <w:b/>
          <w:sz w:val="24"/>
          <w:szCs w:val="24"/>
          <w:lang w:eastAsia="en-US"/>
        </w:rPr>
      </w:pPr>
      <w:r w:rsidRPr="007237F6">
        <w:rPr>
          <w:rFonts w:ascii="Garamond" w:eastAsia="CIDFont+F5" w:hAnsi="Garamond" w:cs="CIDFont+F3"/>
          <w:sz w:val="24"/>
          <w:szCs w:val="24"/>
        </w:rPr>
        <w:lastRenderedPageBreak/>
        <w:t>Zdolność do ponoszenia ryzyka –</w:t>
      </w:r>
      <w:r w:rsidRPr="007237F6">
        <w:rPr>
          <w:rFonts w:ascii="Garamond" w:eastAsia="CIDFont+F5" w:hAnsi="Garamond" w:cs="CIDFont+F2"/>
          <w:sz w:val="24"/>
          <w:szCs w:val="24"/>
        </w:rPr>
        <w:t xml:space="preserve"> maksymalny poziom ryzyka, jaki instytucja jest w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stanie przyjąć, biorąc pod uwagę jej bazę kapitałową, możliwości zarządzania ryzykiem i</w:t>
      </w:r>
      <w:r w:rsidR="00925E36">
        <w:rPr>
          <w:rFonts w:ascii="Garamond" w:eastAsia="CIDFont+F5" w:hAnsi="Garamond" w:cs="CIDFont+F2"/>
          <w:sz w:val="24"/>
          <w:szCs w:val="24"/>
        </w:rPr>
        <w:t> </w:t>
      </w:r>
      <w:r w:rsidRPr="007237F6">
        <w:rPr>
          <w:rFonts w:ascii="Garamond" w:eastAsia="CIDFont+F5" w:hAnsi="Garamond" w:cs="CIDFont+F2"/>
          <w:sz w:val="24"/>
          <w:szCs w:val="24"/>
        </w:rPr>
        <w:t>mechanizmy kontrolne oraz ograniczenia regulac</w:t>
      </w:r>
      <w:r w:rsidR="00564BED" w:rsidRPr="007237F6">
        <w:rPr>
          <w:rFonts w:ascii="Garamond" w:eastAsia="CIDFont+F5" w:hAnsi="Garamond" w:cs="CIDFont+F2"/>
          <w:sz w:val="24"/>
          <w:szCs w:val="24"/>
        </w:rPr>
        <w:t>y</w:t>
      </w:r>
      <w:r w:rsidR="000B3226">
        <w:rPr>
          <w:rFonts w:ascii="Garamond" w:eastAsia="CIDFont+F5" w:hAnsi="Garamond" w:cs="CIDFont+F2"/>
          <w:sz w:val="24"/>
          <w:szCs w:val="24"/>
        </w:rPr>
        <w:t>jne.</w:t>
      </w:r>
    </w:p>
    <w:p w14:paraId="4389266C" w14:textId="77777777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2</w:t>
      </w:r>
    </w:p>
    <w:p w14:paraId="7F93DA4B" w14:textId="7B1DDFAD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Organizacja</w:t>
      </w:r>
      <w:r w:rsidR="007237F6">
        <w:rPr>
          <w:rFonts w:ascii="Garamond" w:hAnsi="Garamond"/>
          <w:b/>
          <w:sz w:val="24"/>
          <w:szCs w:val="24"/>
        </w:rPr>
        <w:t xml:space="preserve"> Banku</w:t>
      </w:r>
      <w:r w:rsidRPr="007237F6">
        <w:rPr>
          <w:rFonts w:ascii="Garamond" w:hAnsi="Garamond"/>
          <w:b/>
          <w:sz w:val="24"/>
          <w:szCs w:val="24"/>
        </w:rPr>
        <w:t xml:space="preserve"> i struktura organizacyjna</w:t>
      </w:r>
    </w:p>
    <w:p w14:paraId="662A6003" w14:textId="77777777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2B23B2B" w14:textId="77777777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0A949F90" w14:textId="77777777" w:rsidR="00564BE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Organizacja Banku umożliwia osiąganie długoterminowych celów prowadzonej działalności. </w:t>
      </w:r>
    </w:p>
    <w:p w14:paraId="02BA20F9" w14:textId="77777777" w:rsidR="00564BE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Organizacja Banku obejmuje zarządzanie i sprawowanie kontroli, systemy sprawozdawczości wewnętrznej, przepływu i ochrony informacji oraz obiegu dokumentów, co zostało należycie uregulowane w odpowiednich regulacjach wewnętrznych. </w:t>
      </w:r>
    </w:p>
    <w:p w14:paraId="398FA9C5" w14:textId="77777777" w:rsidR="00564BE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Organizacja Banku znajduje odzwierciedlenie w strukturze organizacyjnej.</w:t>
      </w:r>
    </w:p>
    <w:p w14:paraId="5770B36D" w14:textId="39C00025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zapewnia jawność struktury organizacyjnej uregulowanej w regulacjach wewnętrznych tej struktury, poprzez zamieszczenie przynajmniej podstawowej struktury organizacyjnej  n</w:t>
      </w:r>
      <w:r w:rsidR="000B3226">
        <w:rPr>
          <w:rFonts w:ascii="Garamond" w:hAnsi="Garamond"/>
          <w:sz w:val="24"/>
          <w:szCs w:val="24"/>
        </w:rPr>
        <w:t>a stronie internetowej: www.bswarka.pl</w:t>
      </w:r>
      <w:r w:rsidRPr="007237F6">
        <w:rPr>
          <w:rFonts w:ascii="Garamond" w:hAnsi="Garamond"/>
          <w:sz w:val="24"/>
          <w:szCs w:val="24"/>
        </w:rPr>
        <w:t>.</w:t>
      </w:r>
    </w:p>
    <w:p w14:paraId="19A043C7" w14:textId="77777777" w:rsidR="00564BED" w:rsidRPr="007237F6" w:rsidRDefault="00564BED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3454E157" w14:textId="77777777" w:rsidR="00564BED" w:rsidRPr="007237F6" w:rsidRDefault="002A16E2" w:rsidP="00811754">
      <w:pPr>
        <w:pStyle w:val="Akapitzlist"/>
        <w:numPr>
          <w:ilvl w:val="1"/>
          <w:numId w:val="1"/>
        </w:numPr>
        <w:tabs>
          <w:tab w:val="clear" w:pos="2148"/>
        </w:tabs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posiada przejrzystą oraz adekwatną do skali i charakteru prowadzonej działalności oraz podejmowanego ryzyka strukturę organizacyjną, w której podległość służbowa, zadania oraz zakres obowiązków i odpowiedzialności są wyraźnie przypisane i odpowiednio podzielone. </w:t>
      </w:r>
    </w:p>
    <w:p w14:paraId="37559B5A" w14:textId="5E3C7847" w:rsidR="002A16E2" w:rsidRPr="007237F6" w:rsidRDefault="002A16E2" w:rsidP="00811754">
      <w:pPr>
        <w:pStyle w:val="Akapitzlist"/>
        <w:numPr>
          <w:ilvl w:val="1"/>
          <w:numId w:val="1"/>
        </w:numPr>
        <w:tabs>
          <w:tab w:val="clear" w:pos="2148"/>
        </w:tabs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Struktura organizacyjna obejmuje i odzwierciedla cały obszar działalności Banku  wyraźnie wyodrębniając każdą kluczową funkcję w obrębie wykonywanych zadań</w:t>
      </w:r>
      <w:r w:rsidR="007237F6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przez co przyczynia się do zapewnienia oraz wykazania skutecznego i ostrożnego zarządzania Bankiem. Dotyczy to zarówno podziału zadań jak i odpowiedzialności pomiędzy członków Zarządu Banku,  a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także podziału zadań i odpowiedzialności pomiędzy komórki organizacyjne centrali, jednostki </w:t>
      </w:r>
      <w:r w:rsidR="006F6248">
        <w:rPr>
          <w:rFonts w:ascii="Garamond" w:hAnsi="Garamond"/>
          <w:sz w:val="24"/>
          <w:szCs w:val="24"/>
        </w:rPr>
        <w:t>organizacyjne</w:t>
      </w:r>
      <w:r w:rsidRPr="007237F6">
        <w:rPr>
          <w:rFonts w:ascii="Garamond" w:hAnsi="Garamond"/>
          <w:sz w:val="24"/>
          <w:szCs w:val="24"/>
        </w:rPr>
        <w:t xml:space="preserve"> oraz poszczególne stanowiska albo</w:t>
      </w:r>
      <w:r w:rsidR="006F6248">
        <w:rPr>
          <w:rFonts w:ascii="Garamond" w:hAnsi="Garamond"/>
          <w:sz w:val="24"/>
          <w:szCs w:val="24"/>
        </w:rPr>
        <w:t xml:space="preserve"> zespoły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6A358FE1" w14:textId="453EAB81" w:rsidR="002A16E2" w:rsidRPr="007237F6" w:rsidRDefault="002A16E2" w:rsidP="00811754">
      <w:pPr>
        <w:pStyle w:val="Akapitzlist"/>
        <w:numPr>
          <w:ilvl w:val="1"/>
          <w:numId w:val="1"/>
        </w:numPr>
        <w:tabs>
          <w:tab w:val="clear" w:pos="2148"/>
        </w:tabs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Struktura organizacyjna Banku została określona w taki sposób, by nie zachodziły wątpliwości co do zakresu zadań i odpowiedzialności odpowiednich komórek organizacyjnych, jednostek </w:t>
      </w:r>
      <w:r w:rsidR="006F6248">
        <w:rPr>
          <w:rFonts w:ascii="Garamond" w:hAnsi="Garamond"/>
          <w:sz w:val="24"/>
          <w:szCs w:val="24"/>
        </w:rPr>
        <w:t>organizac</w:t>
      </w:r>
      <w:r w:rsidRPr="007237F6">
        <w:rPr>
          <w:rFonts w:ascii="Garamond" w:hAnsi="Garamond"/>
          <w:sz w:val="24"/>
          <w:szCs w:val="24"/>
        </w:rPr>
        <w:t>y</w:t>
      </w:r>
      <w:r w:rsidR="006F6248">
        <w:rPr>
          <w:rFonts w:ascii="Garamond" w:hAnsi="Garamond"/>
          <w:sz w:val="24"/>
          <w:szCs w:val="24"/>
        </w:rPr>
        <w:t>jny</w:t>
      </w:r>
      <w:r w:rsidRPr="007237F6">
        <w:rPr>
          <w:rFonts w:ascii="Garamond" w:hAnsi="Garamond"/>
          <w:sz w:val="24"/>
          <w:szCs w:val="24"/>
        </w:rPr>
        <w:t>ch i stanowisk lub</w:t>
      </w:r>
      <w:r w:rsidR="006F6248">
        <w:rPr>
          <w:rFonts w:ascii="Garamond" w:hAnsi="Garamond"/>
          <w:sz w:val="24"/>
          <w:szCs w:val="24"/>
        </w:rPr>
        <w:t xml:space="preserve"> zespołów</w:t>
      </w:r>
      <w:r w:rsidRPr="007237F6">
        <w:rPr>
          <w:rFonts w:ascii="Garamond" w:hAnsi="Garamond"/>
          <w:sz w:val="24"/>
          <w:szCs w:val="24"/>
        </w:rPr>
        <w:t xml:space="preserve">, a zwłaszcza, by nie dochodziło do nakładania się na siebie obowiązków i odpowiedzialności komórek organizacyjnych, jednostek </w:t>
      </w:r>
      <w:r w:rsidR="006F6248">
        <w:rPr>
          <w:rFonts w:ascii="Garamond" w:hAnsi="Garamond"/>
          <w:sz w:val="24"/>
          <w:szCs w:val="24"/>
        </w:rPr>
        <w:t xml:space="preserve">organizacyjnych </w:t>
      </w:r>
      <w:r w:rsidRPr="007237F6">
        <w:rPr>
          <w:rFonts w:ascii="Garamond" w:hAnsi="Garamond"/>
          <w:sz w:val="24"/>
          <w:szCs w:val="24"/>
        </w:rPr>
        <w:t>i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stanowisk lub</w:t>
      </w:r>
      <w:r w:rsidR="006F6248">
        <w:rPr>
          <w:rFonts w:ascii="Garamond" w:hAnsi="Garamond"/>
          <w:sz w:val="24"/>
          <w:szCs w:val="24"/>
        </w:rPr>
        <w:t xml:space="preserve"> zespołów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3DD8FD2" w14:textId="77777777" w:rsidR="0066089A" w:rsidRPr="007237F6" w:rsidRDefault="002A16E2" w:rsidP="00811754">
      <w:pPr>
        <w:pStyle w:val="Akapitzlist"/>
        <w:numPr>
          <w:ilvl w:val="1"/>
          <w:numId w:val="1"/>
        </w:numPr>
        <w:tabs>
          <w:tab w:val="clear" w:pos="2148"/>
        </w:tabs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Struktura Banku nie utrudnia nadzoru nad ryzykiem oraz skutecznego zarządzania ryzykiem, ani także skutecznego nadzorowania instytucji</w:t>
      </w:r>
      <w:r w:rsidR="00564BED" w:rsidRPr="007237F6">
        <w:rPr>
          <w:rFonts w:ascii="Garamond" w:hAnsi="Garamond"/>
          <w:sz w:val="24"/>
          <w:szCs w:val="24"/>
        </w:rPr>
        <w:t>.</w:t>
      </w:r>
    </w:p>
    <w:p w14:paraId="05E3200B" w14:textId="77777777" w:rsidR="002A16E2" w:rsidRPr="007237F6" w:rsidRDefault="002A16E2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7550F4AC" w14:textId="166A5476" w:rsidR="002A16E2" w:rsidRPr="007237F6" w:rsidRDefault="002A16E2" w:rsidP="007237F6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przestrzega wymogów wynikających z przepisów prawa oraz uwzględnia rekomendacje nadzorcze wydane przez odpowiednie organy nadzoru, w szczególności przez KNF oraz EBA (</w:t>
      </w:r>
      <w:proofErr w:type="spellStart"/>
      <w:r w:rsidRPr="007237F6">
        <w:rPr>
          <w:rFonts w:ascii="Garamond" w:hAnsi="Garamond"/>
          <w:sz w:val="24"/>
          <w:szCs w:val="24"/>
        </w:rPr>
        <w:t>European</w:t>
      </w:r>
      <w:proofErr w:type="spellEnd"/>
      <w:r w:rsidRPr="007237F6">
        <w:rPr>
          <w:rFonts w:ascii="Garamond" w:hAnsi="Garamond"/>
          <w:sz w:val="24"/>
          <w:szCs w:val="24"/>
        </w:rPr>
        <w:t xml:space="preserve"> Banking Authority), a także zobowiązania lub deklaracje składane wobec organów nadzoru oraz uwzględnia indywidualne zalecenia wydane przez organy nadzoru</w:t>
      </w:r>
      <w:r w:rsidR="006F6248">
        <w:rPr>
          <w:rFonts w:ascii="Garamond" w:hAnsi="Garamond"/>
          <w:sz w:val="24"/>
          <w:szCs w:val="24"/>
        </w:rPr>
        <w:t xml:space="preserve"> oraz cele strategiczne Zrzeszenia 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3DC770E8" w14:textId="183AD08F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7434907" w14:textId="77777777" w:rsidR="0066089A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określa własne cele strategiczne przy uwzględnieniu charakteru oraz skali prowadzonej działalności. </w:t>
      </w:r>
    </w:p>
    <w:p w14:paraId="5B5555BA" w14:textId="77777777" w:rsidR="0066089A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Organizacja Banku umożliwia osiąganie zakładanych strategicznych celów z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uwzględnieniem konieczności efektywnego monitorowania ryzyka występującego w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jego działalności. </w:t>
      </w:r>
    </w:p>
    <w:p w14:paraId="73C6A5A5" w14:textId="77777777" w:rsidR="0066089A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Organizacja Banku umożliwia niezwłoczne podejmowanie odpowiednich działań w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sytuacjach nagłych, gdy konieczne jest odstąpienie lub nie jest możliwe realizowanie przyjętych celów strategicznych z powodu nieoczekiwanych zmian w otoczeniu gospodarczym lub prawnym Banku albo, gdy dalsza realizacja przyjętych celów może prowadzić do </w:t>
      </w:r>
      <w:r w:rsidRPr="007237F6">
        <w:rPr>
          <w:rFonts w:ascii="Garamond" w:hAnsi="Garamond"/>
          <w:sz w:val="24"/>
          <w:szCs w:val="24"/>
        </w:rPr>
        <w:lastRenderedPageBreak/>
        <w:t xml:space="preserve">naruszenia norm określonych regulacjami dotyczącymi prowadzenia działalności przez Bank lub ustalonych zasad postępowania. </w:t>
      </w:r>
    </w:p>
    <w:p w14:paraId="26CDAC6B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Organizacja Banku zapewnia, że: </w:t>
      </w:r>
    </w:p>
    <w:p w14:paraId="3B5C59EA" w14:textId="77777777" w:rsidR="002A16E2" w:rsidRPr="007237F6" w:rsidRDefault="002A16E2" w:rsidP="00811754">
      <w:pPr>
        <w:pStyle w:val="Akapitzlist"/>
        <w:numPr>
          <w:ilvl w:val="2"/>
          <w:numId w:val="4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wykonywanie zadań z zakresu działalności Banku jest powierzane osobom posiadającym niezbędną wiedzę i umiejętności, nad którymi nadzór sprawują osoby posiadające także odpowiednie doświadczenie,</w:t>
      </w:r>
    </w:p>
    <w:p w14:paraId="60F24610" w14:textId="77777777" w:rsidR="002A16E2" w:rsidRPr="007237F6" w:rsidRDefault="002A16E2" w:rsidP="00811754">
      <w:pPr>
        <w:pStyle w:val="Akapitzlist"/>
        <w:numPr>
          <w:ilvl w:val="2"/>
          <w:numId w:val="4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przy określaniu zakresu powierzanych zadań brana jest pod uwagę możliwość właściwego i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rzetelnego wykonania tych zadań na danym stanowisku, </w:t>
      </w:r>
    </w:p>
    <w:p w14:paraId="4976CEC5" w14:textId="7D4E289D" w:rsidR="0066089A" w:rsidRPr="007237F6" w:rsidRDefault="002A16E2" w:rsidP="00811754">
      <w:pPr>
        <w:pStyle w:val="Akapitzlist"/>
        <w:numPr>
          <w:ilvl w:val="2"/>
          <w:numId w:val="4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prawa pracowników są należycie chronione, a ich interesy należycie uwzględniane, w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szczególności poprzez stosowanie przejrzystych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obiektywnych zasad zatrudniania i</w:t>
      </w:r>
      <w:r w:rsidR="0066089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wynagradzania, oceny, a także nagradzania i awansu zawodowego. </w:t>
      </w:r>
    </w:p>
    <w:p w14:paraId="6DE7382D" w14:textId="011E84FB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A6303AB" w14:textId="77777777" w:rsidR="00942BE6" w:rsidRPr="007237F6" w:rsidRDefault="00942BE6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Banku kształtuje strukturę organizacyjną Banku, jej ewolucje i ograniczenia, jak też zapewnia, aby ta struktura była uzasadniona i efektywna oraz nie cechowała sią nadmierną lub nieodpowiednią złożonością, która nie miałaby jasnego uzasadnienia ekonomicznego ani celu prawnego lub mogłaby być wykorzystana w celach związanych z przestępczością finansową. </w:t>
      </w:r>
    </w:p>
    <w:p w14:paraId="23909190" w14:textId="40152E46" w:rsidR="00942BE6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Tworzenie lub zmiany struktury organizacyjnej Banku, będą spójne w szczególności ze</w:t>
      </w:r>
      <w:r w:rsidR="00925E36">
        <w:rPr>
          <w:rFonts w:ascii="Garamond" w:hAnsi="Garamond"/>
          <w:sz w:val="24"/>
          <w:szCs w:val="24"/>
        </w:rPr>
        <w:t> </w:t>
      </w:r>
      <w:r w:rsidR="006F6248">
        <w:rPr>
          <w:rFonts w:ascii="Garamond" w:hAnsi="Garamond"/>
          <w:sz w:val="24"/>
          <w:szCs w:val="24"/>
        </w:rPr>
        <w:t>S</w:t>
      </w:r>
      <w:r w:rsidRPr="007237F6">
        <w:rPr>
          <w:rFonts w:ascii="Garamond" w:hAnsi="Garamond"/>
          <w:sz w:val="24"/>
          <w:szCs w:val="24"/>
        </w:rPr>
        <w:t>tatutem  Banku, jako podstawowym aktem ustrojowym dotyczącym utworzenia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funkcjonowania Banku oraz sposobu działania jego organów. </w:t>
      </w:r>
    </w:p>
    <w:p w14:paraId="7C2CFE00" w14:textId="412B87DC" w:rsidR="00942BE6" w:rsidRPr="007237F6" w:rsidRDefault="000B3226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Wymóg, o którym mowa w ust. 2</w:t>
      </w:r>
      <w:r w:rsidR="002A16E2" w:rsidRPr="007237F6">
        <w:rPr>
          <w:rFonts w:ascii="Garamond" w:hAnsi="Garamond"/>
          <w:sz w:val="24"/>
          <w:szCs w:val="24"/>
        </w:rPr>
        <w:t xml:space="preserve"> jest zachowany również w odniesieniu do innych dokumentów wewnętrznych związanych z organizacją i funkcjonowaniem poszczególnych komórek organizacyjnych i stanowisk, a także jednostek </w:t>
      </w:r>
      <w:r w:rsidR="006F6248">
        <w:rPr>
          <w:rFonts w:ascii="Garamond" w:hAnsi="Garamond"/>
          <w:sz w:val="24"/>
          <w:szCs w:val="24"/>
        </w:rPr>
        <w:t xml:space="preserve">organizacyjnych </w:t>
      </w:r>
      <w:r w:rsidR="002A16E2" w:rsidRPr="007237F6">
        <w:rPr>
          <w:rFonts w:ascii="Garamond" w:hAnsi="Garamond"/>
          <w:sz w:val="24"/>
          <w:szCs w:val="24"/>
        </w:rPr>
        <w:t>i ich komórek organizacyjnych czy stanowisk lub</w:t>
      </w:r>
      <w:r w:rsidR="006F6248">
        <w:rPr>
          <w:rFonts w:ascii="Garamond" w:hAnsi="Garamond"/>
          <w:sz w:val="24"/>
          <w:szCs w:val="24"/>
        </w:rPr>
        <w:t xml:space="preserve"> zespołów</w:t>
      </w:r>
      <w:r w:rsidR="002A16E2" w:rsidRPr="007237F6">
        <w:rPr>
          <w:rFonts w:ascii="Garamond" w:hAnsi="Garamond"/>
          <w:sz w:val="24"/>
          <w:szCs w:val="24"/>
        </w:rPr>
        <w:t xml:space="preserve">. </w:t>
      </w:r>
    </w:p>
    <w:p w14:paraId="65194B25" w14:textId="77777777" w:rsidR="00942BE6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Pracownicy Banku mają zapewniony odpowiedni dostęp do informacji </w:t>
      </w:r>
      <w:r w:rsidRPr="007237F6">
        <w:rPr>
          <w:rFonts w:ascii="Garamond" w:hAnsi="Garamond"/>
          <w:sz w:val="24"/>
          <w:szCs w:val="24"/>
        </w:rPr>
        <w:br/>
        <w:t>o zakresach uprawnień, obowiązkach i odpowiedzialności poszczególnych komórek organizacyjnych</w:t>
      </w:r>
      <w:r w:rsidR="00942BE6" w:rsidRPr="007237F6">
        <w:rPr>
          <w:rFonts w:ascii="Garamond" w:hAnsi="Garamond"/>
          <w:sz w:val="24"/>
          <w:szCs w:val="24"/>
        </w:rPr>
        <w:t xml:space="preserve">. </w:t>
      </w:r>
    </w:p>
    <w:p w14:paraId="1664C21B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w pełni zna i rozumie strukturę prawną, organizacyjną i operacyjna Banku oraz zapewnia jej zgodność z zatwierdzoną strategią biznesową i w zakresie ryzyka jak też skłonnością do podejmowania ryzyka. </w:t>
      </w:r>
    </w:p>
    <w:p w14:paraId="32773C5C" w14:textId="7EE5AC84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</w:t>
      </w:r>
      <w:r w:rsidR="006F6248">
        <w:rPr>
          <w:rFonts w:ascii="Garamond" w:hAnsi="Garamond"/>
          <w:sz w:val="24"/>
          <w:szCs w:val="24"/>
        </w:rPr>
        <w:t xml:space="preserve"> i Rada Nadzorcza</w:t>
      </w:r>
      <w:r w:rsidRPr="007237F6">
        <w:rPr>
          <w:rFonts w:ascii="Garamond" w:hAnsi="Garamond"/>
          <w:sz w:val="24"/>
          <w:szCs w:val="24"/>
        </w:rPr>
        <w:t xml:space="preserve"> zapewnia zatwierdzanie prawidłowych strategii i polityki ustanawiania nowych struktur, zapewniając by ich liczba, wzajemne powiązania i transakcje między nimi nie utrudniały zarządzania wewnętrznego oraz skutecznego zarządzania ryzykiem i</w:t>
      </w:r>
      <w:r w:rsid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nadzoru nad nim</w:t>
      </w:r>
      <w:r w:rsidR="00942BE6" w:rsidRPr="007237F6">
        <w:rPr>
          <w:rFonts w:ascii="Garamond" w:hAnsi="Garamond"/>
          <w:sz w:val="24"/>
          <w:szCs w:val="24"/>
        </w:rPr>
        <w:t xml:space="preserve">. </w:t>
      </w:r>
    </w:p>
    <w:p w14:paraId="235351E4" w14:textId="76FB71CF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1A63A57" w14:textId="137E67BC" w:rsidR="00942BE6" w:rsidRPr="00344CB7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wprowadza anonimowy sposób powiadamiania Zarządu lub Rady Nadzorczej o</w:t>
      </w:r>
      <w:r w:rsidR="00942BE6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nadużyciach w Banku, zapewniający możliwość korzystania z tego narzędzia przez </w:t>
      </w:r>
      <w:r w:rsidR="00942BE6" w:rsidRPr="007237F6">
        <w:rPr>
          <w:rFonts w:ascii="Garamond" w:hAnsi="Garamond"/>
          <w:sz w:val="24"/>
          <w:szCs w:val="24"/>
        </w:rPr>
        <w:t xml:space="preserve">wszystkich </w:t>
      </w:r>
      <w:r w:rsidRPr="007237F6">
        <w:rPr>
          <w:rFonts w:ascii="Garamond" w:hAnsi="Garamond"/>
          <w:sz w:val="24"/>
          <w:szCs w:val="24"/>
        </w:rPr>
        <w:t>pracowników, za pośrednictwem określonego, niezależnego i autonomicznego kanału bez obawy negatywnych konsekwencji ze strony kierownictwa i innych pracowników Banku.</w:t>
      </w:r>
      <w:r w:rsidR="00942BE6" w:rsidRPr="007237F6">
        <w:rPr>
          <w:rFonts w:ascii="Garamond" w:hAnsi="Garamond"/>
          <w:sz w:val="24"/>
          <w:szCs w:val="24"/>
        </w:rPr>
        <w:t xml:space="preserve"> </w:t>
      </w:r>
    </w:p>
    <w:p w14:paraId="0118F06E" w14:textId="518026D7" w:rsidR="00942BE6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Obowiązując</w:t>
      </w:r>
      <w:r w:rsidR="00942BE6" w:rsidRPr="007237F6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w Banku </w:t>
      </w:r>
      <w:r w:rsidR="00942BE6" w:rsidRPr="007237F6">
        <w:rPr>
          <w:rFonts w:ascii="Garamond" w:hAnsi="Garamond"/>
          <w:sz w:val="24"/>
          <w:szCs w:val="24"/>
        </w:rPr>
        <w:t xml:space="preserve">procedura dotycząca anonimowego sposobu </w:t>
      </w:r>
      <w:r w:rsidRPr="007237F6">
        <w:rPr>
          <w:rFonts w:ascii="Garamond" w:hAnsi="Garamond"/>
          <w:sz w:val="24"/>
          <w:szCs w:val="24"/>
        </w:rPr>
        <w:t>powiadamiania o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nadużyciach zawiera jasne reguły</w:t>
      </w:r>
      <w:r w:rsidR="00942BE6" w:rsidRPr="007237F6">
        <w:rPr>
          <w:rFonts w:ascii="Garamond" w:hAnsi="Garamond"/>
          <w:sz w:val="24"/>
          <w:szCs w:val="24"/>
        </w:rPr>
        <w:t>,</w:t>
      </w:r>
      <w:r w:rsidRPr="007237F6">
        <w:rPr>
          <w:rFonts w:ascii="Garamond" w:hAnsi="Garamond"/>
          <w:sz w:val="24"/>
          <w:szCs w:val="24"/>
        </w:rPr>
        <w:t xml:space="preserve"> zapewniające traktowanie informacji dotyczących osób zgłaszających i zgłaszanych oraz naruszenia jako poufnych, chroni pracowników, którzy zgłaszają obawy, przed represjami za ujawnienie naruszeń podlegających zgłoszeniu a także  zapewnia, aby zgłaszane potencjalne lub rzeczywiste naruszenia podlegały ocenie i przekazaniu na wyższy szczebel, w tym w stosownych przypadkach odpowiednim właściwym organom lub organom ścigania.</w:t>
      </w:r>
    </w:p>
    <w:p w14:paraId="34CC50C0" w14:textId="0176A176" w:rsidR="002A16E2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 xml:space="preserve"> Procedura anonimowego powiadamiania zapewnia monitorowanie wyniku dochodzenia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sprawie zgłoszonego naruszenia; oraz właściwe prowadzenie ewidencji zgłoszonych naruszeń</w:t>
      </w:r>
      <w:r w:rsidR="00942BE6" w:rsidRPr="007237F6">
        <w:rPr>
          <w:rFonts w:ascii="Garamond" w:hAnsi="Garamond"/>
          <w:sz w:val="24"/>
          <w:szCs w:val="24"/>
        </w:rPr>
        <w:t>.</w:t>
      </w:r>
    </w:p>
    <w:p w14:paraId="588553ED" w14:textId="735E51F7" w:rsidR="00344CB7" w:rsidRPr="007237F6" w:rsidRDefault="00344CB7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przedstawia Radzie Nadzorczej Banku raporty dotyczące powiadomień o poważnych nadużyciach</w:t>
      </w:r>
      <w:r>
        <w:rPr>
          <w:rFonts w:ascii="Garamond" w:hAnsi="Garamond"/>
          <w:sz w:val="24"/>
          <w:szCs w:val="24"/>
        </w:rPr>
        <w:t>.</w:t>
      </w:r>
    </w:p>
    <w:p w14:paraId="1D42B6B6" w14:textId="77777777" w:rsidR="00942BE6" w:rsidRPr="007237F6" w:rsidRDefault="00942BE6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36824BF" w14:textId="77777777" w:rsidR="00942BE6" w:rsidRPr="007237F6" w:rsidRDefault="00942BE6" w:rsidP="007237F6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6D566D31" w14:textId="4C184DAC" w:rsidR="002A16E2" w:rsidRPr="007237F6" w:rsidRDefault="002A16E2" w:rsidP="007237F6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stosuje plany ciągłości działania mające na celu zapewnianie ciągłości działania i ograniczenia strat na wypadek zakłóceń w działalności Bank</w:t>
      </w:r>
      <w:r w:rsidR="00344CB7">
        <w:rPr>
          <w:rFonts w:ascii="Garamond" w:hAnsi="Garamond"/>
          <w:sz w:val="24"/>
          <w:szCs w:val="24"/>
        </w:rPr>
        <w:t>u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7A7E308" w14:textId="77777777" w:rsidR="002A16E2" w:rsidRPr="007237F6" w:rsidRDefault="002A16E2" w:rsidP="007237F6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6EBD6D44" w14:textId="645B9CCF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</w:t>
      </w:r>
      <w:r w:rsidR="00942BE6" w:rsidRPr="007237F6">
        <w:rPr>
          <w:rFonts w:ascii="Garamond" w:hAnsi="Garamond"/>
          <w:b/>
          <w:sz w:val="24"/>
          <w:szCs w:val="24"/>
        </w:rPr>
        <w:t xml:space="preserve"> 3</w:t>
      </w:r>
      <w:r w:rsidRPr="007237F6">
        <w:rPr>
          <w:rFonts w:ascii="Garamond" w:hAnsi="Garamond"/>
          <w:b/>
          <w:sz w:val="24"/>
          <w:szCs w:val="24"/>
        </w:rPr>
        <w:t xml:space="preserve"> </w:t>
      </w:r>
    </w:p>
    <w:p w14:paraId="7415AEDA" w14:textId="6539F80C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 xml:space="preserve">Relacja Banku z </w:t>
      </w:r>
      <w:r w:rsidR="006F6248">
        <w:rPr>
          <w:rFonts w:ascii="Garamond" w:hAnsi="Garamond"/>
          <w:b/>
          <w:sz w:val="24"/>
          <w:szCs w:val="24"/>
        </w:rPr>
        <w:t>członkami</w:t>
      </w:r>
    </w:p>
    <w:p w14:paraId="7EE1E9C9" w14:textId="77777777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3BD2C951" w14:textId="7D456C17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działa w interesie wszystkich </w:t>
      </w:r>
      <w:r w:rsidR="006F6248" w:rsidRPr="006F6248">
        <w:rPr>
          <w:rFonts w:ascii="Garamond" w:hAnsi="Garamond"/>
          <w:sz w:val="24"/>
          <w:szCs w:val="24"/>
        </w:rPr>
        <w:t>członków</w:t>
      </w:r>
      <w:r w:rsidR="006F6248" w:rsidRPr="007237F6">
        <w:rPr>
          <w:rFonts w:ascii="Garamond" w:hAnsi="Garamond"/>
          <w:sz w:val="24"/>
          <w:szCs w:val="24"/>
        </w:rPr>
        <w:t xml:space="preserve"> </w:t>
      </w:r>
      <w:r w:rsidRPr="007237F6">
        <w:rPr>
          <w:rFonts w:ascii="Garamond" w:hAnsi="Garamond"/>
          <w:sz w:val="24"/>
          <w:szCs w:val="24"/>
        </w:rPr>
        <w:t>z poszanowaniem interesu klientów.</w:t>
      </w:r>
    </w:p>
    <w:p w14:paraId="208207A9" w14:textId="77777777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przy prowadzeniu działalności bierze pod uwagę interesy wszystkich interesariuszy, o ile nie są one sprzeczne z interesami Banku. </w:t>
      </w:r>
    </w:p>
    <w:p w14:paraId="0EFC5B2B" w14:textId="3CDF7A3D" w:rsidR="00344CB7" w:rsidRPr="00344CB7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zapewnia </w:t>
      </w:r>
      <w:r w:rsidR="006F6248">
        <w:rPr>
          <w:rFonts w:ascii="Garamond" w:hAnsi="Garamond"/>
          <w:sz w:val="24"/>
          <w:szCs w:val="24"/>
        </w:rPr>
        <w:t xml:space="preserve">członkom Banku </w:t>
      </w:r>
      <w:r w:rsidRPr="007237F6">
        <w:rPr>
          <w:rFonts w:ascii="Garamond" w:hAnsi="Garamond"/>
          <w:sz w:val="24"/>
          <w:szCs w:val="24"/>
        </w:rPr>
        <w:t>właściwy dostęp do informacji, w szczególności w przypadku podejmowa</w:t>
      </w:r>
      <w:r w:rsidR="006F6248">
        <w:rPr>
          <w:rFonts w:ascii="Garamond" w:hAnsi="Garamond"/>
          <w:sz w:val="24"/>
          <w:szCs w:val="24"/>
        </w:rPr>
        <w:t>nych</w:t>
      </w:r>
      <w:r w:rsidRPr="007237F6">
        <w:rPr>
          <w:rFonts w:ascii="Garamond" w:hAnsi="Garamond"/>
          <w:sz w:val="24"/>
          <w:szCs w:val="24"/>
        </w:rPr>
        <w:t xml:space="preserve"> </w:t>
      </w:r>
      <w:r w:rsidR="00CF7C80">
        <w:rPr>
          <w:rFonts w:ascii="Garamond" w:hAnsi="Garamond"/>
          <w:sz w:val="24"/>
          <w:szCs w:val="24"/>
        </w:rPr>
        <w:t xml:space="preserve">uchwał </w:t>
      </w:r>
      <w:r w:rsidRPr="007237F6">
        <w:rPr>
          <w:rFonts w:ascii="Garamond" w:hAnsi="Garamond"/>
          <w:sz w:val="24"/>
          <w:szCs w:val="24"/>
        </w:rPr>
        <w:t xml:space="preserve">przez Zebranie Przedstawicieli. </w:t>
      </w:r>
    </w:p>
    <w:p w14:paraId="376CB310" w14:textId="6B3796CC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udzielaniu informacji </w:t>
      </w:r>
      <w:r w:rsidR="00CF7C80" w:rsidRPr="00CF7C80">
        <w:rPr>
          <w:rFonts w:ascii="Garamond" w:hAnsi="Garamond"/>
          <w:sz w:val="24"/>
          <w:szCs w:val="24"/>
        </w:rPr>
        <w:t>członk</w:t>
      </w:r>
      <w:r w:rsidR="00CF7C80">
        <w:rPr>
          <w:rFonts w:ascii="Garamond" w:hAnsi="Garamond"/>
          <w:sz w:val="24"/>
          <w:szCs w:val="24"/>
        </w:rPr>
        <w:t>om</w:t>
      </w:r>
      <w:r w:rsidR="00CF7C80" w:rsidRPr="007237F6">
        <w:rPr>
          <w:rFonts w:ascii="Garamond" w:hAnsi="Garamond"/>
          <w:sz w:val="24"/>
          <w:szCs w:val="24"/>
        </w:rPr>
        <w:t xml:space="preserve"> </w:t>
      </w:r>
      <w:r w:rsidRPr="007237F6">
        <w:rPr>
          <w:rFonts w:ascii="Garamond" w:hAnsi="Garamond"/>
          <w:sz w:val="24"/>
          <w:szCs w:val="24"/>
        </w:rPr>
        <w:t>Bank</w:t>
      </w:r>
      <w:r w:rsidR="00CF7C80">
        <w:rPr>
          <w:rFonts w:ascii="Garamond" w:hAnsi="Garamond"/>
          <w:sz w:val="24"/>
          <w:szCs w:val="24"/>
        </w:rPr>
        <w:t>u</w:t>
      </w:r>
      <w:r w:rsidRPr="007237F6">
        <w:rPr>
          <w:rFonts w:ascii="Garamond" w:hAnsi="Garamond"/>
          <w:sz w:val="24"/>
          <w:szCs w:val="24"/>
        </w:rPr>
        <w:t xml:space="preserve"> zapewnia ich rzetelność oraz kompletność nie stosując przy tym preferencji w stosunku do wybranych udziałowców. </w:t>
      </w:r>
    </w:p>
    <w:p w14:paraId="601E5064" w14:textId="77777777" w:rsidR="00775CF3" w:rsidRPr="007237F6" w:rsidRDefault="00775CF3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05FEF588" w14:textId="60E51B0F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211E16C9" w14:textId="77777777" w:rsidR="00775CF3" w:rsidRPr="007237F6" w:rsidRDefault="00775CF3" w:rsidP="007237F6">
      <w:pPr>
        <w:pStyle w:val="Akapitzlist"/>
        <w:rPr>
          <w:rFonts w:ascii="Garamond" w:hAnsi="Garamond"/>
          <w:b/>
          <w:sz w:val="24"/>
          <w:szCs w:val="24"/>
        </w:rPr>
      </w:pPr>
    </w:p>
    <w:p w14:paraId="1A5CCF39" w14:textId="4EA0FC61" w:rsidR="00775CF3" w:rsidRPr="007237F6" w:rsidRDefault="00CF7C80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Banku</w:t>
      </w:r>
      <w:r w:rsidR="002A16E2" w:rsidRPr="007237F6">
        <w:rPr>
          <w:rFonts w:ascii="Garamond" w:hAnsi="Garamond"/>
          <w:sz w:val="24"/>
          <w:szCs w:val="24"/>
        </w:rPr>
        <w:t xml:space="preserve"> powinni współdziałać przy realizacji jego celów oraz zapewniają bezpieczeństwo działania</w:t>
      </w:r>
      <w:r>
        <w:rPr>
          <w:rFonts w:ascii="Garamond" w:hAnsi="Garamond"/>
          <w:sz w:val="24"/>
          <w:szCs w:val="24"/>
        </w:rPr>
        <w:t xml:space="preserve"> Banku</w:t>
      </w:r>
      <w:r w:rsidR="002A16E2" w:rsidRPr="007237F6">
        <w:rPr>
          <w:rFonts w:ascii="Garamond" w:hAnsi="Garamond"/>
          <w:sz w:val="24"/>
          <w:szCs w:val="24"/>
        </w:rPr>
        <w:t xml:space="preserve">. </w:t>
      </w:r>
    </w:p>
    <w:p w14:paraId="75868C01" w14:textId="63101425" w:rsidR="00775CF3" w:rsidRPr="007237F6" w:rsidRDefault="00CF7C80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mogą wpływać na funkcjonowanie Banku wyłącznie poprzez decyzje Zebrania Przedstawicieli nie naruszając kompetencji pozostałych organów. Nieuprawnione wywieranie wpływu na Zarząd lub Radę Nadzorczą Banku będzie zgłoszone Komisji Nadzoru Finansowego. </w:t>
      </w:r>
    </w:p>
    <w:p w14:paraId="45B5FB73" w14:textId="42B14C95" w:rsidR="00775CF3" w:rsidRPr="007237F6" w:rsidRDefault="00CF7C80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w swych decyzjach powinni kierować się interesem Banku.  </w:t>
      </w:r>
    </w:p>
    <w:p w14:paraId="717C32A2" w14:textId="77777777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Zwołanie Zebrania Przedstawicieli w sytuacji, gdy wymaga tego dalsze prawidłowe funkcjonowanie Banku następuje niezwłocznie. </w:t>
      </w:r>
    </w:p>
    <w:p w14:paraId="44AF521C" w14:textId="4B73FBA1" w:rsidR="00775CF3" w:rsidRPr="005C423C" w:rsidRDefault="00CF7C80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powinni efektywnie korzystać z  narzędzi nadzoru właścicielskiego, aby zapewnić prawidłowe funkcjonowanie Zarządu i Rady Nadzorczej Banku. Organy Banku funkcjonują w taki sposób, by zapewniać rozdzielenie funkcji właścicielskich i </w:t>
      </w:r>
      <w:r w:rsidR="000B3226">
        <w:rPr>
          <w:rFonts w:ascii="Garamond" w:hAnsi="Garamond"/>
          <w:sz w:val="24"/>
          <w:szCs w:val="24"/>
        </w:rPr>
        <w:t>zarządczych. Obecność członka Banku</w:t>
      </w:r>
      <w:r w:rsidR="002A16E2" w:rsidRPr="007237F6">
        <w:rPr>
          <w:rFonts w:ascii="Garamond" w:hAnsi="Garamond"/>
          <w:sz w:val="24"/>
          <w:szCs w:val="24"/>
        </w:rPr>
        <w:t xml:space="preserve"> w zarządzie wymaga ograniczenia w Radzie Nadzorczej Banku podmiotów powiązanych z takim udziałowcem (w szczególności rodzinnie lub gospodarczo, poza udziałem w Banku), w celu uniknięcia obniżenia efektywności nadzoru wewnętrznego. </w:t>
      </w:r>
    </w:p>
    <w:p w14:paraId="1D693FEB" w14:textId="16434179" w:rsidR="005C423C" w:rsidRPr="001E632D" w:rsidRDefault="001E632D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 s</w:t>
      </w:r>
      <w:r w:rsidRPr="001E632D">
        <w:rPr>
          <w:rFonts w:ascii="Garamond" w:hAnsi="Garamond"/>
          <w:sz w:val="24"/>
          <w:szCs w:val="24"/>
        </w:rPr>
        <w:t>kład Rady Nadzorcz</w:t>
      </w:r>
      <w:r>
        <w:rPr>
          <w:rFonts w:ascii="Garamond" w:hAnsi="Garamond"/>
          <w:sz w:val="24"/>
          <w:szCs w:val="24"/>
        </w:rPr>
        <w:t>ej</w:t>
      </w:r>
      <w:r w:rsidRPr="001E632D">
        <w:rPr>
          <w:rFonts w:ascii="Garamond" w:hAnsi="Garamond"/>
          <w:sz w:val="24"/>
          <w:szCs w:val="24"/>
        </w:rPr>
        <w:t xml:space="preserve"> nie mogą wchodzić osoby pozostające z członkami zarządu lub kierownikami bieżącej działalności gospodarczej spółdzielni w związku małżeńskim albo w stosunku </w:t>
      </w:r>
      <w:bookmarkStart w:id="2" w:name="highlightHit_0"/>
      <w:bookmarkEnd w:id="2"/>
      <w:r w:rsidRPr="001E632D">
        <w:rPr>
          <w:rStyle w:val="highlight"/>
          <w:rFonts w:ascii="Garamond" w:hAnsi="Garamond"/>
          <w:sz w:val="24"/>
          <w:szCs w:val="24"/>
        </w:rPr>
        <w:t>pokrewieństwa</w:t>
      </w:r>
      <w:r w:rsidRPr="001E632D">
        <w:rPr>
          <w:rFonts w:ascii="Garamond" w:hAnsi="Garamond"/>
          <w:sz w:val="24"/>
          <w:szCs w:val="24"/>
        </w:rPr>
        <w:t xml:space="preserve"> lub powinowactwa w linii prostej i w drugim stopniu linii bocznej.</w:t>
      </w:r>
    </w:p>
    <w:p w14:paraId="14EDCD52" w14:textId="16F7F938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Konflikty </w:t>
      </w:r>
      <w:r w:rsidR="000B3226">
        <w:rPr>
          <w:rFonts w:ascii="Garamond" w:hAnsi="Garamond"/>
          <w:sz w:val="24"/>
          <w:szCs w:val="24"/>
        </w:rPr>
        <w:t>powstające pomiędzy członkami Banku</w:t>
      </w:r>
      <w:r w:rsidRPr="007237F6">
        <w:rPr>
          <w:rFonts w:ascii="Garamond" w:hAnsi="Garamond"/>
          <w:sz w:val="24"/>
          <w:szCs w:val="24"/>
        </w:rPr>
        <w:t xml:space="preserve"> powinny być rozwiązywane niezwłocznie, aby nie dochodziło do naruszania interesu Banku  i jego</w:t>
      </w:r>
      <w:r w:rsidR="00026064">
        <w:rPr>
          <w:rFonts w:ascii="Garamond" w:hAnsi="Garamond"/>
          <w:sz w:val="24"/>
          <w:szCs w:val="24"/>
        </w:rPr>
        <w:t xml:space="preserve"> członków</w:t>
      </w:r>
      <w:r w:rsidR="00344CB7">
        <w:rPr>
          <w:rFonts w:ascii="Garamond" w:hAnsi="Garamond"/>
          <w:sz w:val="24"/>
          <w:szCs w:val="24"/>
        </w:rPr>
        <w:t>.</w:t>
      </w:r>
    </w:p>
    <w:p w14:paraId="01EA91C5" w14:textId="77777777" w:rsidR="00775CF3" w:rsidRDefault="00775CF3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0AEE8AF5" w14:textId="77777777" w:rsidR="000B3226" w:rsidRDefault="000B3226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7C558103" w14:textId="77777777" w:rsidR="000B3226" w:rsidRPr="007237F6" w:rsidRDefault="000B3226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1EE6D0EA" w14:textId="77777777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lastRenderedPageBreak/>
        <w:t>.</w:t>
      </w:r>
    </w:p>
    <w:p w14:paraId="17E96A25" w14:textId="7780C344" w:rsidR="00775CF3" w:rsidRPr="007237F6" w:rsidRDefault="00CF7C80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nie będący członkami Zarządu, nie mogą ingerować w sposób sprawowania zarządu, w tym prowadzenie spraw przez Zarząd.</w:t>
      </w:r>
    </w:p>
    <w:p w14:paraId="01884922" w14:textId="4339B322" w:rsidR="002A16E2" w:rsidRPr="007237F6" w:rsidRDefault="00CF7C80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 Banku</w:t>
      </w:r>
      <w:r w:rsidR="002A16E2" w:rsidRPr="007237F6">
        <w:rPr>
          <w:rFonts w:ascii="Garamond" w:hAnsi="Garamond"/>
          <w:sz w:val="24"/>
          <w:szCs w:val="24"/>
        </w:rPr>
        <w:t xml:space="preserve"> nie powinni wykorzystywać swojej pozycji do podejmowania decyzji prowadzących do przeniesienia aktywów z Banku do innych podmiotów, a także do nabycia lub zbycia albo zawierania innych transakcji powodujących rozporządzenie przez Bank jego majątkiem na warunkach innych niż rynkowe, czy też z narażeniem bezpieczeństwa lub interesu Banku. </w:t>
      </w:r>
    </w:p>
    <w:p w14:paraId="646A5BB1" w14:textId="77777777" w:rsidR="00775CF3" w:rsidRPr="007237F6" w:rsidRDefault="00775CF3" w:rsidP="007237F6">
      <w:pPr>
        <w:pStyle w:val="Akapitzlist"/>
        <w:ind w:left="1440"/>
        <w:jc w:val="both"/>
        <w:rPr>
          <w:rFonts w:ascii="Garamond" w:hAnsi="Garamond"/>
          <w:b/>
          <w:sz w:val="24"/>
          <w:szCs w:val="24"/>
        </w:rPr>
      </w:pPr>
    </w:p>
    <w:p w14:paraId="1B4F6EF0" w14:textId="77777777" w:rsidR="00542929" w:rsidRPr="000B3226" w:rsidRDefault="00542929" w:rsidP="000B3226">
      <w:pPr>
        <w:pStyle w:val="Akapitzlist"/>
        <w:numPr>
          <w:ilvl w:val="0"/>
          <w:numId w:val="3"/>
        </w:numPr>
        <w:jc w:val="center"/>
        <w:rPr>
          <w:rFonts w:ascii="Garamond" w:hAnsi="Garamond"/>
          <w:b/>
          <w:sz w:val="24"/>
          <w:szCs w:val="24"/>
        </w:rPr>
      </w:pPr>
    </w:p>
    <w:p w14:paraId="13088CF1" w14:textId="59C3B9BD" w:rsidR="00775CF3" w:rsidRPr="00542929" w:rsidRDefault="00775CF3" w:rsidP="00542929">
      <w:pPr>
        <w:jc w:val="both"/>
        <w:rPr>
          <w:rFonts w:ascii="Garamond" w:hAnsi="Garamond"/>
          <w:sz w:val="24"/>
          <w:szCs w:val="24"/>
        </w:rPr>
      </w:pPr>
      <w:r w:rsidRPr="00542929">
        <w:rPr>
          <w:rFonts w:ascii="Garamond" w:hAnsi="Garamond"/>
          <w:sz w:val="24"/>
          <w:szCs w:val="24"/>
        </w:rPr>
        <w:t xml:space="preserve">Decyzje w zakresie wypłaty </w:t>
      </w:r>
      <w:r w:rsidR="00542929" w:rsidRPr="00542929">
        <w:rPr>
          <w:rFonts w:ascii="Garamond" w:hAnsi="Garamond"/>
          <w:sz w:val="28"/>
          <w:szCs w:val="24"/>
        </w:rPr>
        <w:t xml:space="preserve">zysku </w:t>
      </w:r>
      <w:r w:rsidR="000B3226">
        <w:rPr>
          <w:rFonts w:ascii="Garamond" w:hAnsi="Garamond"/>
          <w:sz w:val="24"/>
          <w:szCs w:val="24"/>
        </w:rPr>
        <w:t xml:space="preserve">uzależnione są od </w:t>
      </w:r>
      <w:proofErr w:type="spellStart"/>
      <w:r w:rsidR="000B3226">
        <w:rPr>
          <w:rFonts w:ascii="Garamond" w:hAnsi="Garamond"/>
          <w:sz w:val="24"/>
          <w:szCs w:val="24"/>
        </w:rPr>
        <w:t>po</w:t>
      </w:r>
      <w:r w:rsidRPr="00542929">
        <w:rPr>
          <w:rFonts w:ascii="Garamond" w:hAnsi="Garamond"/>
          <w:sz w:val="24"/>
          <w:szCs w:val="24"/>
        </w:rPr>
        <w:t>rzeby</w:t>
      </w:r>
      <w:proofErr w:type="spellEnd"/>
      <w:r w:rsidRPr="00542929">
        <w:rPr>
          <w:rFonts w:ascii="Garamond" w:hAnsi="Garamond"/>
          <w:sz w:val="24"/>
          <w:szCs w:val="24"/>
        </w:rPr>
        <w:t xml:space="preserve"> utrzymania odpowiedniego poziomu kapitałów własnych oraz realizacji strategicznych celów instytucji nadzorowanej, </w:t>
      </w:r>
      <w:r w:rsidR="00542929" w:rsidRPr="00542929">
        <w:rPr>
          <w:rFonts w:ascii="Garamond" w:hAnsi="Garamond"/>
          <w:sz w:val="24"/>
          <w:szCs w:val="24"/>
        </w:rPr>
        <w:br/>
      </w:r>
      <w:r w:rsidRPr="00542929">
        <w:rPr>
          <w:rFonts w:ascii="Garamond" w:hAnsi="Garamond"/>
          <w:sz w:val="24"/>
          <w:szCs w:val="24"/>
        </w:rPr>
        <w:t xml:space="preserve">a także uwzględniają rekomendacje i indywidualne zalecenia wydane przez organy nadzoru. </w:t>
      </w:r>
    </w:p>
    <w:p w14:paraId="4A13A95B" w14:textId="77777777" w:rsidR="00775CF3" w:rsidRPr="007237F6" w:rsidRDefault="00775CF3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</w:p>
    <w:p w14:paraId="6F54DD8D" w14:textId="77777777" w:rsidR="00775CF3" w:rsidRPr="007237F6" w:rsidRDefault="00775CF3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4</w:t>
      </w:r>
    </w:p>
    <w:p w14:paraId="25C44DBB" w14:textId="77777777" w:rsidR="00775CF3" w:rsidRPr="007237F6" w:rsidRDefault="00775CF3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Zarząd</w:t>
      </w:r>
    </w:p>
    <w:p w14:paraId="76E6BACC" w14:textId="77777777" w:rsidR="00775CF3" w:rsidRPr="007237F6" w:rsidRDefault="00775CF3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C992956" w14:textId="77777777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ponosi ostateczną i ogólną odpowiedzialność za Bank oraz określa zasady zarządzania w Banku, które zapewniają skuteczne i ostrożne zarządzanie Bankiem, nadzoruje wdrożenie tych zasad </w:t>
      </w:r>
      <w:r w:rsidR="00931DDD" w:rsidRPr="007237F6">
        <w:rPr>
          <w:rFonts w:ascii="Garamond" w:hAnsi="Garamond"/>
          <w:sz w:val="24"/>
          <w:szCs w:val="24"/>
        </w:rPr>
        <w:t>oraz</w:t>
      </w:r>
      <w:r w:rsidRPr="007237F6">
        <w:rPr>
          <w:rFonts w:ascii="Garamond" w:hAnsi="Garamond"/>
          <w:sz w:val="24"/>
          <w:szCs w:val="24"/>
        </w:rPr>
        <w:t xml:space="preserve"> jest za to wdrożenie odpowiedzialny. </w:t>
      </w:r>
    </w:p>
    <w:p w14:paraId="6AD37A38" w14:textId="32082174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aktywnie angażuje się w działalność Banku i podejmuje decyzje w prawidłowy i</w:t>
      </w:r>
      <w:r w:rsidR="00344CB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świadomy sposób. </w:t>
      </w:r>
    </w:p>
    <w:p w14:paraId="4E04961A" w14:textId="5A0C32A7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ponosi odpowiedzialność za wdrażanie strategii oraz regularnie omawia wdrażanie i</w:t>
      </w:r>
      <w:r w:rsidR="00344CB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odpowiedniość tych strategii z Radą Nadzorczą</w:t>
      </w:r>
    </w:p>
    <w:p w14:paraId="20FF42AE" w14:textId="77777777" w:rsidR="00775CF3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dokonując osądu i podejmując decyzje konstruktywnie kwestionuje oraz krytycznie ocenia przedstawiane mu propozycje, wyjaśnienia i informacje</w:t>
      </w:r>
    </w:p>
    <w:p w14:paraId="7BADE1E0" w14:textId="68D9E796" w:rsidR="002A16E2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składa kompleksowe sprawozdana i informuje regularnie bez zbędnej zwłoki Radę Nadzorczą o elementach istotnych dla oceny sytuacji, ryzyku i wydarzeniach mających wpływ lub mogących mieć wpływ na </w:t>
      </w:r>
      <w:r w:rsidR="00931DDD" w:rsidRPr="007237F6">
        <w:rPr>
          <w:rFonts w:ascii="Garamond" w:hAnsi="Garamond"/>
          <w:sz w:val="24"/>
          <w:szCs w:val="24"/>
        </w:rPr>
        <w:t xml:space="preserve"> działanie Banku.</w:t>
      </w:r>
    </w:p>
    <w:p w14:paraId="0A965C68" w14:textId="77777777" w:rsidR="00542929" w:rsidRPr="007237F6" w:rsidRDefault="00542929" w:rsidP="00542929">
      <w:pPr>
        <w:pStyle w:val="Akapitzlist"/>
        <w:ind w:left="709"/>
        <w:jc w:val="both"/>
        <w:rPr>
          <w:rFonts w:ascii="Garamond" w:hAnsi="Garamond"/>
          <w:sz w:val="24"/>
          <w:szCs w:val="24"/>
        </w:rPr>
      </w:pPr>
    </w:p>
    <w:p w14:paraId="58BF5851" w14:textId="77777777" w:rsidR="00775CF3" w:rsidRPr="007237F6" w:rsidRDefault="00775CF3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3FAC04B3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ma charakter kolegialny. </w:t>
      </w:r>
    </w:p>
    <w:p w14:paraId="453D28BC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Zarządu posiadają kompetencje do prowadzenia spraw Banku wynikające z:</w:t>
      </w:r>
    </w:p>
    <w:p w14:paraId="565088BD" w14:textId="77777777" w:rsidR="00931DDD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wiedzy  (posiadanej z racji zdobytego wykształcenia, odbytych szkoleń, uzyskanych tytułów zawodowych oraz nabytej w inny sposób w toku kariery zawodowej), </w:t>
      </w:r>
    </w:p>
    <w:p w14:paraId="6A9AAFB2" w14:textId="77777777" w:rsidR="00931DDD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doświadczenia (nabytego w toku sprawowania określonych funkcji lub zajmowania określonych stanowisk), </w:t>
      </w:r>
    </w:p>
    <w:p w14:paraId="4B53353A" w14:textId="77777777" w:rsidR="00931DDD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umiejętności niezbędnych do wykonywania powierzonej funkcji. </w:t>
      </w:r>
    </w:p>
    <w:p w14:paraId="522DCBAF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Każdy z członków Zarządu daje rękojmię należytego wykonywania powierzonych mu obowiązków. </w:t>
      </w:r>
    </w:p>
    <w:p w14:paraId="41EBDBB4" w14:textId="013F8F2F" w:rsidR="003F29F4" w:rsidRPr="007237F6" w:rsidRDefault="003F29F4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Zarządu, podlegają ocenie odpowiedniości przez</w:t>
      </w:r>
      <w:r w:rsidR="00542929">
        <w:rPr>
          <w:rFonts w:ascii="Garamond" w:hAnsi="Garamond"/>
          <w:sz w:val="24"/>
          <w:szCs w:val="24"/>
        </w:rPr>
        <w:t xml:space="preserve"> Radę Nadzorczą</w:t>
      </w:r>
      <w:r w:rsidRPr="007237F6">
        <w:rPr>
          <w:rFonts w:ascii="Garamond" w:hAnsi="Garamond"/>
          <w:sz w:val="24"/>
          <w:szCs w:val="24"/>
        </w:rPr>
        <w:t>, na zasadach określonych w Polityce oceny odpowiedniości kandydatów na członków Zarządu, członków Zarządu oraz Zarządu.</w:t>
      </w:r>
    </w:p>
    <w:p w14:paraId="10586E25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Indywidualne kompetencje poszczególnych członków Zarządu dopełniają się w taki sposób, aby możliwe było zapewnienie odpowiedniego poziomu kolegialnego zarządzania Bankiem.</w:t>
      </w:r>
    </w:p>
    <w:p w14:paraId="2B864E8B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 xml:space="preserve">W składzie Zarządu zapewniony jest udział osób, które władają językiem polskim oraz wykazują się odpowiednim doświadczeniem i znajomością polskiego rynku finansowego, niezbędnymi w zarządzaniu Bankiem na polskim rynku finansowym.  </w:t>
      </w:r>
    </w:p>
    <w:p w14:paraId="5A8000D0" w14:textId="172DD951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realizuje powyższe zasady poprzez stosowanie przepisów prawa powszechnie  obowiązującego oraz wytycznych, rekomendacji i zaleceń, określonych przez Europejski Urząd Nadzoru Bankowego oraz Komisję Nadzoru Finansowego, regulujących tą materię, </w:t>
      </w:r>
      <w:r w:rsidR="00EF191D">
        <w:rPr>
          <w:rFonts w:ascii="Garamond" w:hAnsi="Garamond"/>
          <w:sz w:val="24"/>
          <w:szCs w:val="24"/>
        </w:rPr>
        <w:t xml:space="preserve">a także wytyczne i rekomendacje Banku Zrzeszającego i Systemu Ochrony </w:t>
      </w:r>
      <w:r w:rsidRPr="007237F6">
        <w:rPr>
          <w:rFonts w:ascii="Garamond" w:hAnsi="Garamond"/>
          <w:sz w:val="24"/>
          <w:szCs w:val="24"/>
        </w:rPr>
        <w:t>z</w:t>
      </w:r>
      <w:r w:rsidR="008D015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zachowaniem zasady proporcjonalności.</w:t>
      </w:r>
    </w:p>
    <w:p w14:paraId="7BAC0EFD" w14:textId="3CC78A01" w:rsidR="00931DDD" w:rsidRPr="007237F6" w:rsidRDefault="00931DDD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12C8018A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</w:t>
      </w:r>
      <w:r w:rsidRPr="007237F6">
        <w:rPr>
          <w:rFonts w:ascii="Garamond" w:hAnsi="Garamond"/>
          <w:b/>
          <w:sz w:val="24"/>
          <w:szCs w:val="24"/>
        </w:rPr>
        <w:t xml:space="preserve"> </w:t>
      </w:r>
      <w:r w:rsidRPr="007237F6">
        <w:rPr>
          <w:rFonts w:ascii="Garamond" w:hAnsi="Garamond"/>
          <w:sz w:val="24"/>
          <w:szCs w:val="24"/>
        </w:rPr>
        <w:t xml:space="preserve">działając w interesie Banku ma na względzie cele oraz zasady prowadzenia działalności przez Bank określone przez przepisy prawa, regulacje wewnętrzne oraz rekomendacje nadzorcze. </w:t>
      </w:r>
    </w:p>
    <w:p w14:paraId="1DEFC7E7" w14:textId="77777777" w:rsidR="00931DDD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 realizując przyjętą strategię działalności kieruje się bezpieczeństwem Banku. </w:t>
      </w:r>
    </w:p>
    <w:p w14:paraId="12D4A84F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jest jedynym uprawnionym i odpowiedzialnym za zarządzanie działalnością Banku.</w:t>
      </w:r>
    </w:p>
    <w:p w14:paraId="0349ABCE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Zarządzanie działalnością Banku obejmuje w szczególności funkcje prowadzenia spraw, planowania, organizowania, decydowania, kierowania oraz kontrolowania działalności Banku. </w:t>
      </w:r>
    </w:p>
    <w:p w14:paraId="3C50ADCA" w14:textId="77777777" w:rsidR="008E1FCA" w:rsidRPr="007237F6" w:rsidRDefault="008E1FC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.</w:t>
      </w:r>
    </w:p>
    <w:p w14:paraId="7E2801D0" w14:textId="751A5297" w:rsidR="008E1FCA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Obowiązki</w:t>
      </w:r>
      <w:r w:rsidR="00EF191D">
        <w:rPr>
          <w:rFonts w:ascii="Garamond" w:hAnsi="Garamond"/>
          <w:sz w:val="24"/>
          <w:szCs w:val="24"/>
        </w:rPr>
        <w:t xml:space="preserve"> i uprawnienia</w:t>
      </w:r>
      <w:r w:rsidRPr="007237F6">
        <w:rPr>
          <w:rFonts w:ascii="Garamond" w:hAnsi="Garamond"/>
          <w:sz w:val="24"/>
          <w:szCs w:val="24"/>
        </w:rPr>
        <w:t xml:space="preserve"> Zarządu są jasno określone w formie pisemnej. </w:t>
      </w:r>
    </w:p>
    <w:p w14:paraId="5FDA7AD4" w14:textId="11238408" w:rsidR="008E1FCA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Do obowiązków Zarządu nal</w:t>
      </w:r>
      <w:r w:rsidR="008E1FCA" w:rsidRPr="007237F6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>ży w szczególności ustalanie i wdrażani</w:t>
      </w:r>
      <w:r w:rsidR="00344CB7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>:</w:t>
      </w:r>
    </w:p>
    <w:p w14:paraId="5BA6F101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o</w:t>
      </w:r>
      <w:r w:rsidR="002A16E2" w:rsidRPr="007237F6">
        <w:rPr>
          <w:rFonts w:ascii="Garamond" w:hAnsi="Garamond"/>
          <w:sz w:val="24"/>
          <w:szCs w:val="24"/>
        </w:rPr>
        <w:t>gólnej strategii biznesowej Banku</w:t>
      </w:r>
      <w:r w:rsidRPr="007237F6">
        <w:rPr>
          <w:rFonts w:ascii="Garamond" w:hAnsi="Garamond"/>
          <w:sz w:val="24"/>
          <w:szCs w:val="24"/>
        </w:rPr>
        <w:t xml:space="preserve">; </w:t>
      </w:r>
    </w:p>
    <w:p w14:paraId="2E7892F9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</w:t>
      </w:r>
      <w:r w:rsidR="002A16E2" w:rsidRPr="007237F6">
        <w:rPr>
          <w:rFonts w:ascii="Garamond" w:hAnsi="Garamond"/>
          <w:sz w:val="24"/>
          <w:szCs w:val="24"/>
        </w:rPr>
        <w:t>gólnej strategii w zakresie ryzyka, w  tym skłonności instytucji do podejmowania ryzyka oraz jej ram zarządzania ryzykiem, a także środków zapewniających, aby Zarząd poświęcał wystarczająco dużo czasu na zagadnienia związane z ryzykiem</w:t>
      </w:r>
      <w:r w:rsidRPr="007237F6">
        <w:rPr>
          <w:rFonts w:ascii="Garamond" w:hAnsi="Garamond"/>
          <w:sz w:val="24"/>
          <w:szCs w:val="24"/>
        </w:rPr>
        <w:t>;</w:t>
      </w:r>
    </w:p>
    <w:p w14:paraId="62AB2B9A" w14:textId="4E62F879" w:rsidR="008E1FCA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</w:t>
      </w:r>
      <w:r w:rsidR="008E1FCA" w:rsidRPr="007237F6">
        <w:rPr>
          <w:rFonts w:ascii="Garamond" w:hAnsi="Garamond"/>
          <w:sz w:val="24"/>
          <w:szCs w:val="24"/>
        </w:rPr>
        <w:t>o</w:t>
      </w:r>
      <w:r w:rsidRPr="007237F6">
        <w:rPr>
          <w:rFonts w:ascii="Garamond" w:hAnsi="Garamond"/>
          <w:sz w:val="24"/>
          <w:szCs w:val="24"/>
        </w:rPr>
        <w:t>dpowiednich i skutecznych ram zarządzania oraz kontroli wewnętrznej, obejmujących jasną strukturę organizacyjną i dobrze funkcjonujące niezależne wewnętrzne komórki ds. zarządzania ryzykiem, ds. zgodności, które dysponują wystarczającymi uprawnieniami, statusem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zasobami, aby móc wykonywać swoje funkcje</w:t>
      </w:r>
    </w:p>
    <w:p w14:paraId="5BB4A848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</w:t>
      </w:r>
      <w:r w:rsidR="002A16E2" w:rsidRPr="007237F6">
        <w:rPr>
          <w:rFonts w:ascii="Garamond" w:hAnsi="Garamond"/>
          <w:sz w:val="24"/>
          <w:szCs w:val="24"/>
        </w:rPr>
        <w:t>ielkości, rodzajów oraz struktury kapitału wewnętrznego i funduszy własnych wystarczających do odpowiedniego pokrycia ryzyka podejmowanego przez Bank</w:t>
      </w:r>
    </w:p>
    <w:p w14:paraId="3CA8BD3B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</w:t>
      </w:r>
      <w:r w:rsidR="002A16E2" w:rsidRPr="007237F6">
        <w:rPr>
          <w:rFonts w:ascii="Garamond" w:hAnsi="Garamond"/>
          <w:sz w:val="24"/>
          <w:szCs w:val="24"/>
        </w:rPr>
        <w:t>elów zarządzania płynnością instytucji</w:t>
      </w:r>
    </w:p>
    <w:p w14:paraId="30704991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</w:t>
      </w:r>
      <w:r w:rsidR="002A16E2" w:rsidRPr="007237F6">
        <w:rPr>
          <w:rFonts w:ascii="Garamond" w:hAnsi="Garamond"/>
          <w:sz w:val="24"/>
          <w:szCs w:val="24"/>
        </w:rPr>
        <w:t>olityki wynagrodzeń</w:t>
      </w:r>
    </w:p>
    <w:p w14:paraId="5EC2FDF1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</w:t>
      </w:r>
      <w:r w:rsidR="002A16E2" w:rsidRPr="007237F6">
        <w:rPr>
          <w:rFonts w:ascii="Garamond" w:hAnsi="Garamond"/>
          <w:sz w:val="24"/>
          <w:szCs w:val="24"/>
        </w:rPr>
        <w:t>rocesu wyboru i oceny kwalifikacji osób pełniących najważniejsze funkcje</w:t>
      </w:r>
    </w:p>
    <w:p w14:paraId="7994DE37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</w:t>
      </w:r>
      <w:r w:rsidR="002A16E2" w:rsidRPr="007237F6">
        <w:rPr>
          <w:rFonts w:ascii="Garamond" w:hAnsi="Garamond"/>
          <w:sz w:val="24"/>
          <w:szCs w:val="24"/>
        </w:rPr>
        <w:t xml:space="preserve">ultury języka </w:t>
      </w:r>
    </w:p>
    <w:p w14:paraId="5F1DD1C0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</w:t>
      </w:r>
      <w:r w:rsidR="002A16E2" w:rsidRPr="007237F6">
        <w:rPr>
          <w:rFonts w:ascii="Garamond" w:hAnsi="Garamond"/>
          <w:sz w:val="24"/>
          <w:szCs w:val="24"/>
        </w:rPr>
        <w:t>ultury korporacyjnej i wartości, które promują odpowiedzialne i etyczne postępowanie</w:t>
      </w:r>
    </w:p>
    <w:p w14:paraId="160490A3" w14:textId="77777777" w:rsidR="008E1FCA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</w:t>
      </w:r>
      <w:r w:rsidR="002A16E2" w:rsidRPr="007237F6">
        <w:rPr>
          <w:rFonts w:ascii="Garamond" w:hAnsi="Garamond"/>
          <w:sz w:val="24"/>
          <w:szCs w:val="24"/>
        </w:rPr>
        <w:t>olityki przeciwdziałania konfliktom interesów na poziomie instytucjonalnym</w:t>
      </w:r>
    </w:p>
    <w:p w14:paraId="482D878B" w14:textId="77777777" w:rsidR="002A16E2" w:rsidRPr="007237F6" w:rsidRDefault="008E1FCA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</w:t>
      </w:r>
      <w:r w:rsidR="002A16E2" w:rsidRPr="007237F6">
        <w:rPr>
          <w:rFonts w:ascii="Garamond" w:hAnsi="Garamond"/>
          <w:sz w:val="24"/>
          <w:szCs w:val="24"/>
        </w:rPr>
        <w:t xml:space="preserve">asad mających na celu zapewnienie rzetelności systemów rachunkowości i sprawozdawczości finansowej. </w:t>
      </w:r>
    </w:p>
    <w:p w14:paraId="15B5C088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składzie Zarządu Banku jest wyodrębniona funkcja Prezesa Zarządu kierującego pracami tego organu. </w:t>
      </w:r>
    </w:p>
    <w:p w14:paraId="78A7DD7F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Prezes Zarządu przyczynia się do efektywnego przepływu informacji w ramach Zarządu oraz pomiędzy Zarządem a Radą Nadzorczą oraz jest odpowiedzialny za ogólne skuteczne funkcjonowanie Zarządu. </w:t>
      </w:r>
    </w:p>
    <w:p w14:paraId="5AE944E6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Prezes Zarządu zachęca do otwartej u krytycznej dyskusji, sprzyja takiej dyskusji oraz zapewnia możliwość wyrażania i omawiania odmiennych poglądów w ramach procesu decyzyjnego. </w:t>
      </w:r>
    </w:p>
    <w:p w14:paraId="42051DD2" w14:textId="0A78EFFE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 xml:space="preserve">Prezes Zarządu ustala porządek posiedzeń i zapewnia priorytetowe poruszanie kwestii strategicznych, a także zapewnia otrzymywanie </w:t>
      </w:r>
      <w:r w:rsidR="00EF191D" w:rsidRPr="007237F6">
        <w:rPr>
          <w:rFonts w:ascii="Garamond" w:hAnsi="Garamond"/>
          <w:sz w:val="24"/>
          <w:szCs w:val="24"/>
        </w:rPr>
        <w:t xml:space="preserve">przez członków Zarządu </w:t>
      </w:r>
      <w:r w:rsidRPr="007237F6">
        <w:rPr>
          <w:rFonts w:ascii="Garamond" w:hAnsi="Garamond"/>
          <w:sz w:val="24"/>
          <w:szCs w:val="24"/>
        </w:rPr>
        <w:t>dokumentów i</w:t>
      </w:r>
      <w:r w:rsidR="00EF191D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informacji z wystarczającym wyprzedzeniem przed posiedzeniami</w:t>
      </w:r>
      <w:r w:rsidR="003D0D0B">
        <w:rPr>
          <w:rFonts w:ascii="Garamond" w:hAnsi="Garamond"/>
          <w:sz w:val="24"/>
          <w:szCs w:val="24"/>
        </w:rPr>
        <w:t>.</w:t>
      </w:r>
    </w:p>
    <w:p w14:paraId="5955DB34" w14:textId="5C9B8849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Członkowie Zarządu Banku ponoszą kolegialną odpowiedzialność za decyzje zastrzeżone do kompetencji Zarządu, niezależnie od wprowadzenia wewnętrznego podziału odpowiedzialności za poszczególne obszary działalności Banku pomiędzy członków Zarządu. </w:t>
      </w:r>
    </w:p>
    <w:p w14:paraId="4DC73288" w14:textId="421A81EE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Wszyscy członkowie organu zarządzającego są na bieżąco informowani o ogólnej działalności Banku, jego sytuacji finansowej i pod względem ryzyka, a także o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podejmowanych decyzjach mających znaczny wpływ na działalność Banku</w:t>
      </w:r>
      <w:r w:rsidR="008E1FCA" w:rsidRPr="007237F6">
        <w:rPr>
          <w:rFonts w:ascii="Garamond" w:hAnsi="Garamond"/>
          <w:sz w:val="24"/>
          <w:szCs w:val="24"/>
        </w:rPr>
        <w:t>.</w:t>
      </w:r>
    </w:p>
    <w:p w14:paraId="6DEA60AC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Wewnętrzny podział odpowiedzialności za poszczególne obszary działalności Banku pomiędzy członków Zarządu Banku dokonywany jest  w sposób przejrzysty i jednoznaczny oraz został odzwierciedlony w regulacjach wewnętrznych</w:t>
      </w:r>
      <w:r w:rsidR="008E1FCA" w:rsidRPr="007237F6">
        <w:rPr>
          <w:rFonts w:ascii="Garamond" w:hAnsi="Garamond"/>
          <w:sz w:val="24"/>
          <w:szCs w:val="24"/>
        </w:rPr>
        <w:t xml:space="preserve"> i uchwałach kompetencyjnych zatwierdzonych przez Radę Nadzorczą</w:t>
      </w:r>
      <w:r w:rsidRPr="007237F6">
        <w:rPr>
          <w:rFonts w:ascii="Garamond" w:hAnsi="Garamond"/>
          <w:sz w:val="24"/>
          <w:szCs w:val="24"/>
        </w:rPr>
        <w:t xml:space="preserve">. Podział ten nie prowadzi do zbędnego nakładania się kompetencji członków Zarządu Banku  lub wewnętrznych konfliktów interesów. </w:t>
      </w:r>
    </w:p>
    <w:p w14:paraId="538B9B72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Wewnętrzny podział odpowiedzialności pomiędzy członków Zarządu </w:t>
      </w:r>
      <w:r w:rsidRPr="007237F6">
        <w:rPr>
          <w:rFonts w:ascii="Garamond" w:hAnsi="Garamond"/>
          <w:sz w:val="24"/>
          <w:szCs w:val="24"/>
        </w:rPr>
        <w:br/>
        <w:t xml:space="preserve">Banku nie prowadzi do sytuacji, w której określony obszar działalności Banku  nie jest przypisany do żadnego członka organu zarządzającego. </w:t>
      </w:r>
    </w:p>
    <w:p w14:paraId="2DD75316" w14:textId="66B35FE4" w:rsidR="008E1FCA" w:rsidRPr="007237F6" w:rsidRDefault="008E1FC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89B3155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Posiedzenia Zarządu Banku odbywają się w języku polskim.</w:t>
      </w:r>
      <w:r w:rsidRPr="007237F6">
        <w:rPr>
          <w:rFonts w:ascii="Garamond" w:hAnsi="Garamond"/>
          <w:i/>
          <w:sz w:val="24"/>
          <w:szCs w:val="24"/>
        </w:rPr>
        <w:t xml:space="preserve"> </w:t>
      </w:r>
    </w:p>
    <w:p w14:paraId="34C06884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Protokół oraz treść podejmowanych uchwał lub innych istotnych postanowień Zarządu Banku  sporządzane są  w języku polskim</w:t>
      </w:r>
      <w:r w:rsidR="008E1FCA" w:rsidRPr="007237F6">
        <w:rPr>
          <w:rFonts w:ascii="Garamond" w:hAnsi="Garamond"/>
          <w:sz w:val="24"/>
          <w:szCs w:val="24"/>
        </w:rPr>
        <w:t xml:space="preserve">. </w:t>
      </w:r>
    </w:p>
    <w:p w14:paraId="5476533D" w14:textId="737EEDF5" w:rsidR="008E1FCA" w:rsidRPr="007237F6" w:rsidRDefault="008E1FCA" w:rsidP="00811754">
      <w:pPr>
        <w:pStyle w:val="Akapitzlist"/>
        <w:numPr>
          <w:ilvl w:val="0"/>
          <w:numId w:val="3"/>
        </w:numPr>
        <w:ind w:left="851"/>
        <w:jc w:val="center"/>
        <w:rPr>
          <w:rFonts w:ascii="Garamond" w:hAnsi="Garamond"/>
          <w:sz w:val="24"/>
          <w:szCs w:val="24"/>
        </w:rPr>
      </w:pPr>
    </w:p>
    <w:p w14:paraId="5A642958" w14:textId="02AAF4D3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Pełnienie funkcji członka Zarządu powinno stanowić główny obszar aktywności zawodowej członka Zarządu. Dodatkowa aktywność zawodowa członka Zarządu, poza Bankiem nie powinna prowadzić do takiego zaangażowania czasu i nakładu pracy, aby negatywnie wpływała na wykonywanie funkcji członka Zarządu.</w:t>
      </w:r>
    </w:p>
    <w:p w14:paraId="4F92FB2C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Członek Zarządu Banku nie powinien być w szczególności członkiem organów innych podmiotów, jeżeli czas poświęcony na wykonywanie funkcji w innych podmiotach uniemożliwiałby mu rzetelne wykonywanie obowiązków w Banku.</w:t>
      </w:r>
    </w:p>
    <w:p w14:paraId="54BA9788" w14:textId="77777777" w:rsidR="008E1FC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Członek Zarządu Banku powinien powstrzymać się od podejmowania aktywności zawodowej lub pozazawodowej, która mogłaby prowadzić do powstawania konfliktu interesów lub miałaby negatywny wpływ na jego reputację jako członka Zarządu Banku. </w:t>
      </w:r>
    </w:p>
    <w:p w14:paraId="1554205D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Zasady ograniczania konfliktu interesów zostały określone w odpowiedniej regulacji wewnętrznej określającej między innymi zasady identyfikacji, zarządzania oraz zapobiegania konfliktom interesów, a także zasady wyłączania członka Zarządu w</w:t>
      </w:r>
      <w:r w:rsidR="00A168AF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przypadku zaistnienia konfliktu interesów lub możliwości jego zaistnienia. </w:t>
      </w:r>
    </w:p>
    <w:p w14:paraId="576A4F19" w14:textId="677BCFC2" w:rsidR="00A168AF" w:rsidRPr="007237F6" w:rsidRDefault="00A168AF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4695E95" w14:textId="77777777" w:rsidR="00A168AF" w:rsidRPr="007237F6" w:rsidRDefault="00A168AF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 przypadku niepełnego składu Zarządu Banku, Rada Nadzorcza Banku  podejmuje odpowiednie działania w celu jego niezwłocznego uzupełnienia.</w:t>
      </w:r>
    </w:p>
    <w:p w14:paraId="795E2E33" w14:textId="77777777" w:rsidR="00A168AF" w:rsidRPr="007237F6" w:rsidRDefault="00A168AF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2D1F63F3" w14:textId="77777777" w:rsidR="00A168AF" w:rsidRPr="007237F6" w:rsidRDefault="00A168AF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 xml:space="preserve">Rozdział 5 </w:t>
      </w:r>
    </w:p>
    <w:p w14:paraId="284A19DA" w14:textId="77777777" w:rsidR="00A168AF" w:rsidRPr="007237F6" w:rsidRDefault="00A168AF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Rada Nadzorcza</w:t>
      </w:r>
    </w:p>
    <w:p w14:paraId="3DCE78FE" w14:textId="77777777" w:rsidR="00A168AF" w:rsidRPr="007237F6" w:rsidRDefault="00A168AF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50475FA" w14:textId="5DEFACB2" w:rsidR="00A168AF" w:rsidRPr="007237F6" w:rsidRDefault="00A168AF" w:rsidP="00811754">
      <w:pPr>
        <w:pStyle w:val="Akapitzlist"/>
        <w:numPr>
          <w:ilvl w:val="1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sprawuje nadzór nad sprawami Banku  kierując się przy wykonywaniu swoich zadań dbałością o prawidłowe i bezpieczne działanie Banku. </w:t>
      </w:r>
    </w:p>
    <w:p w14:paraId="072EB929" w14:textId="492FA6EE" w:rsidR="00A168AF" w:rsidRPr="007237F6" w:rsidRDefault="00A168AF" w:rsidP="00811754">
      <w:pPr>
        <w:pStyle w:val="Akapitzlist"/>
        <w:numPr>
          <w:ilvl w:val="1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>Rada Nadzorcza monitoruje i konstruktywnie kwestionuje strategię</w:t>
      </w:r>
      <w:r w:rsidR="00410E5B">
        <w:rPr>
          <w:rFonts w:ascii="Garamond" w:hAnsi="Garamond"/>
          <w:sz w:val="24"/>
          <w:szCs w:val="24"/>
        </w:rPr>
        <w:t xml:space="preserve"> działania Banku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6821C5C" w14:textId="77777777" w:rsidR="00A168AF" w:rsidRPr="007237F6" w:rsidRDefault="00A168AF" w:rsidP="00811754">
      <w:pPr>
        <w:pStyle w:val="Akapitzlist"/>
        <w:numPr>
          <w:ilvl w:val="1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w ramach pełnionych funkcji zobowiązana jest w szczególności: </w:t>
      </w:r>
    </w:p>
    <w:p w14:paraId="6886AD51" w14:textId="77777777" w:rsidR="00A168AF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nadzorować i monitorować proces podejmowania decyzji przez kierownictwo oraz jego działania, jak też zapewnić skuteczny nadzór nad Zarządem, w tym monitorowanie oraz kontrolę jego indywidualnych i zbiorowych wyników, jak też realizacji strategii i celów instytucji; </w:t>
      </w:r>
    </w:p>
    <w:p w14:paraId="11B3E999" w14:textId="79D7BC31" w:rsidR="00A168AF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konstruktywnie kwestionować i krytycznie oceniać propozycje oraz informacje dostarczane przez Zarząd, a także jego decyzje; </w:t>
      </w:r>
    </w:p>
    <w:p w14:paraId="3E155F02" w14:textId="3D2A9A53" w:rsidR="00A168AF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uwzględniając zasadę proporcjonalności, należycie wypełniać obowiązki i rolę komitetu ds. ryzyka, </w:t>
      </w:r>
      <w:r w:rsidR="0016064C">
        <w:rPr>
          <w:rFonts w:ascii="Garamond" w:hAnsi="Garamond"/>
          <w:sz w:val="24"/>
          <w:szCs w:val="24"/>
        </w:rPr>
        <w:t>oraz Komitetu Audytu</w:t>
      </w:r>
    </w:p>
    <w:p w14:paraId="54EAB40E" w14:textId="77777777" w:rsidR="00A168AF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zapewnić i okresowo oceniać skuteczność ram zarządzania wewnętrznego</w:t>
      </w:r>
      <w:r w:rsidR="002229A5" w:rsidRPr="007237F6">
        <w:rPr>
          <w:rFonts w:ascii="Garamond" w:hAnsi="Garamond"/>
          <w:sz w:val="24"/>
          <w:szCs w:val="24"/>
        </w:rPr>
        <w:t xml:space="preserve"> Banku</w:t>
      </w:r>
      <w:r w:rsidRPr="007237F6">
        <w:rPr>
          <w:rFonts w:ascii="Garamond" w:hAnsi="Garamond"/>
          <w:sz w:val="24"/>
          <w:szCs w:val="24"/>
        </w:rPr>
        <w:t xml:space="preserve"> oraz podejmować odpowiednie kroki w celu usunięcia wszelkich stwierdzonych uchybień; </w:t>
      </w:r>
    </w:p>
    <w:p w14:paraId="4B0A5F3E" w14:textId="77777777" w:rsidR="00A168AF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nadzorować i monitorować konsekwentne wdrażanie celów strategicznych</w:t>
      </w:r>
      <w:r w:rsidR="002229A5" w:rsidRPr="007237F6">
        <w:rPr>
          <w:rFonts w:ascii="Garamond" w:hAnsi="Garamond"/>
          <w:sz w:val="24"/>
          <w:szCs w:val="24"/>
        </w:rPr>
        <w:t xml:space="preserve"> Banku</w:t>
      </w:r>
      <w:r w:rsidRPr="007237F6">
        <w:rPr>
          <w:rFonts w:ascii="Garamond" w:hAnsi="Garamond"/>
          <w:sz w:val="24"/>
          <w:szCs w:val="24"/>
        </w:rPr>
        <w:t>, je</w:t>
      </w:r>
      <w:r w:rsidR="002229A5" w:rsidRPr="007237F6">
        <w:rPr>
          <w:rFonts w:ascii="Garamond" w:hAnsi="Garamond"/>
          <w:sz w:val="24"/>
          <w:szCs w:val="24"/>
        </w:rPr>
        <w:t>go</w:t>
      </w:r>
      <w:r w:rsidRPr="007237F6">
        <w:rPr>
          <w:rFonts w:ascii="Garamond" w:hAnsi="Garamond"/>
          <w:sz w:val="24"/>
          <w:szCs w:val="24"/>
        </w:rPr>
        <w:t xml:space="preserve"> struktury organizacyjnej i strategii w zakresie ryzyka, w tym je</w:t>
      </w:r>
      <w:r w:rsidR="002229A5" w:rsidRPr="007237F6">
        <w:rPr>
          <w:rFonts w:ascii="Garamond" w:hAnsi="Garamond"/>
          <w:sz w:val="24"/>
          <w:szCs w:val="24"/>
        </w:rPr>
        <w:t xml:space="preserve">go </w:t>
      </w:r>
      <w:r w:rsidRPr="007237F6">
        <w:rPr>
          <w:rFonts w:ascii="Garamond" w:hAnsi="Garamond"/>
          <w:sz w:val="24"/>
          <w:szCs w:val="24"/>
        </w:rPr>
        <w:t xml:space="preserve">skłonności do podejmowania ryzyka oraz ram zarządzania ryzykiem i innych obszarów polityki (np. polityki wynagrodzeń), a także zasad ujawniania informacji; </w:t>
      </w:r>
    </w:p>
    <w:p w14:paraId="67F4A56A" w14:textId="77777777" w:rsidR="00A168AF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monitorować konsekwentne wdrażanie kultury ryzyka w</w:t>
      </w:r>
      <w:r w:rsidR="002229A5" w:rsidRPr="007237F6">
        <w:rPr>
          <w:rFonts w:ascii="Garamond" w:hAnsi="Garamond"/>
          <w:sz w:val="24"/>
          <w:szCs w:val="24"/>
        </w:rPr>
        <w:t xml:space="preserve"> Banku</w:t>
      </w:r>
      <w:r w:rsidRPr="007237F6">
        <w:rPr>
          <w:rFonts w:ascii="Garamond" w:hAnsi="Garamond"/>
          <w:sz w:val="24"/>
          <w:szCs w:val="24"/>
        </w:rPr>
        <w:t xml:space="preserve">; </w:t>
      </w:r>
    </w:p>
    <w:p w14:paraId="2F7AAFD2" w14:textId="77777777" w:rsidR="002229A5" w:rsidRPr="007237F6" w:rsidRDefault="00A168AF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nadzorować wdrażanie i utrzymywanie kodeksu postępowania lub podobnych skutecznych zasad w celu określenia faktycznych i potencjalnych konfliktów interesów, zarządzania nimi oraz ich minimalizacji;</w:t>
      </w:r>
    </w:p>
    <w:p w14:paraId="10B7DCBD" w14:textId="77777777" w:rsidR="002229A5" w:rsidRPr="007237F6" w:rsidRDefault="00A168AF" w:rsidP="00811754">
      <w:pPr>
        <w:pStyle w:val="Akapitzlist"/>
        <w:numPr>
          <w:ilvl w:val="1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Banku posiada możliwość podejmowania na bieżąco niezbędnych czynności nadzorczych w szczególności w zakresie realizacji przyjętych celów strategicznych lub istotnych zmian poziomu ryzyka lub materializacji istotnych </w:t>
      </w:r>
      <w:proofErr w:type="spellStart"/>
      <w:r w:rsidRPr="007237F6">
        <w:rPr>
          <w:rFonts w:ascii="Garamond" w:hAnsi="Garamond"/>
          <w:sz w:val="24"/>
          <w:szCs w:val="24"/>
        </w:rPr>
        <w:t>ryzyk</w:t>
      </w:r>
      <w:proofErr w:type="spellEnd"/>
      <w:r w:rsidRPr="007237F6">
        <w:rPr>
          <w:rFonts w:ascii="Garamond" w:hAnsi="Garamond"/>
          <w:sz w:val="24"/>
          <w:szCs w:val="24"/>
        </w:rPr>
        <w:t xml:space="preserve"> w działalności Banku, a także w zakresie sprawozdawczości finansowej, w tym wprowadzania istotnych zmian w polityce rachunkowości mających znaczący wpływ na treść informacji finansowej. </w:t>
      </w:r>
    </w:p>
    <w:p w14:paraId="789C0324" w14:textId="77777777" w:rsidR="00A168AF" w:rsidRPr="007237F6" w:rsidRDefault="00A168AF" w:rsidP="00811754">
      <w:pPr>
        <w:pStyle w:val="Akapitzlist"/>
        <w:numPr>
          <w:ilvl w:val="1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Banku oraz poszczególni jej członkowie przy wykonywaniu nadzoru kierują się obiektywną oceną i osądem. </w:t>
      </w:r>
    </w:p>
    <w:p w14:paraId="14317D08" w14:textId="77777777" w:rsidR="00A168AF" w:rsidRPr="007237F6" w:rsidRDefault="00A168AF" w:rsidP="007237F6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14:paraId="4996669C" w14:textId="4423C736" w:rsidR="00A168AF" w:rsidRPr="007237F6" w:rsidRDefault="00A168AF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9EB4C2F" w14:textId="77777777" w:rsidR="00A168AF" w:rsidRPr="007237F6" w:rsidRDefault="00A168AF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Rady Nadzorczej Banku posiadają kompetencje do należytego wykonywania obowiązków nadzorowania Banku wynikające z:</w:t>
      </w:r>
    </w:p>
    <w:p w14:paraId="42D674ED" w14:textId="77777777" w:rsidR="00A168AF" w:rsidRPr="007237F6" w:rsidRDefault="00A168AF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wiedzy (posiadanej z racji zdobytego wykształcenia, odbytych szkoleń, uzyskanych tytułów zawodowych lub stopni naukowych oraz nabytej w inny sposób w toku kariery zawodowej), </w:t>
      </w:r>
    </w:p>
    <w:p w14:paraId="3850775F" w14:textId="77777777" w:rsidR="002229A5" w:rsidRPr="007237F6" w:rsidRDefault="00A168AF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doświadczenia (nabytego w toku sprawowania określonych funkcji lub zajmowania określonych stanowisk), </w:t>
      </w:r>
    </w:p>
    <w:p w14:paraId="02005819" w14:textId="77777777" w:rsidR="002229A5" w:rsidRPr="007237F6" w:rsidRDefault="00A168AF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umiejętności niezbędnych do wykonywania powierzonej funkcji.</w:t>
      </w:r>
    </w:p>
    <w:p w14:paraId="62406FBA" w14:textId="77777777" w:rsidR="00A168AF" w:rsidRPr="007237F6" w:rsidRDefault="00A168AF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Indywidualne kompetencje poszczególnych członków kolegialnej Rady Nadzorczej Banku uzupełniają się w taki sposób, aby umożliwić zapewnienie odpowiedniego poziomu kolegialnego sprawowania nadzoru nad wszystkimi obszarami działania Banku  </w:t>
      </w:r>
    </w:p>
    <w:p w14:paraId="5D0B18B3" w14:textId="77777777" w:rsidR="001E134A" w:rsidRPr="007237F6" w:rsidRDefault="00A168AF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Każdy z członków Rady Nadzorczej Banku daje rękojmię należytego wykonywania powierzonych mu obowiązków. </w:t>
      </w:r>
    </w:p>
    <w:p w14:paraId="0DBF6B9D" w14:textId="77777777" w:rsidR="002229A5" w:rsidRPr="007237F6" w:rsidRDefault="00A168AF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składzie Rady Nadzorczej Banku wszystkie osoby władają językiem polskim oraz wykazują się odpowiednim doświadczeniem i znajomością polskiego rynku finansowego niezbędnymi w nadzorowaniu Banku na polskim rynku finansowym.</w:t>
      </w:r>
    </w:p>
    <w:p w14:paraId="03901EAF" w14:textId="7D60C9DC" w:rsidR="001E134A" w:rsidRPr="007237F6" w:rsidRDefault="00A168AF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>Bank realizuje powyższe zasady poprzez stosowanie przepisów prawa powszechnie obowiązującego oraz wytycznych, rekomendacji i zaleceń, określonych przez Europejski Urząd Nadzoru Bankowego oraz Komisję Nadzoru Finansowego,</w:t>
      </w:r>
      <w:r w:rsidR="0016064C">
        <w:rPr>
          <w:rFonts w:ascii="Garamond" w:hAnsi="Garamond"/>
          <w:sz w:val="24"/>
          <w:szCs w:val="24"/>
        </w:rPr>
        <w:t xml:space="preserve"> Bank Zrzeszający i Spółdzielczy System Ochrony</w:t>
      </w:r>
      <w:r w:rsidRPr="007237F6">
        <w:rPr>
          <w:rFonts w:ascii="Garamond" w:hAnsi="Garamond"/>
          <w:sz w:val="24"/>
          <w:szCs w:val="24"/>
        </w:rPr>
        <w:t xml:space="preserve"> regulujących tą materię, z zachowaniem zasady proporcjonalności.</w:t>
      </w:r>
    </w:p>
    <w:p w14:paraId="5585D62F" w14:textId="30852119" w:rsidR="002229A5" w:rsidRPr="007237F6" w:rsidRDefault="002229A5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A76B127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Skład liczebny Rady Nadzorczej Banku jest adekwatny do charakteru i skali prowadzonej przez Bank działalności. </w:t>
      </w:r>
    </w:p>
    <w:p w14:paraId="0676E41D" w14:textId="052CF017" w:rsidR="001E134A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składzie Rady Nadzorczej Banku wyodrębniona jest  funkcja przewodniczącego, który kieruje pracami Rady Nadzorczej. Wybór przewodniczącego rady Nadzorczej Banku dokonywany jest  w oparciu o doświadczenie oraz umiejętności kierowania zespołem. </w:t>
      </w:r>
    </w:p>
    <w:p w14:paraId="28035CE0" w14:textId="018F7AD8" w:rsidR="0016064C" w:rsidRPr="007237F6" w:rsidRDefault="0016064C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Rada Nadzorcza </w:t>
      </w:r>
      <w:r w:rsidR="006E1082">
        <w:rPr>
          <w:rFonts w:ascii="Garamond" w:hAnsi="Garamond"/>
          <w:sz w:val="24"/>
          <w:szCs w:val="24"/>
        </w:rPr>
        <w:t>powołuje spośród siebie Prezydium</w:t>
      </w:r>
    </w:p>
    <w:p w14:paraId="1A19CFD4" w14:textId="77777777" w:rsidR="001E134A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ramach Rady Nadzorczej powołany został Komitet Audytu</w:t>
      </w:r>
      <w:r w:rsidR="001E134A" w:rsidRPr="007237F6">
        <w:rPr>
          <w:rFonts w:ascii="Garamond" w:hAnsi="Garamond"/>
          <w:sz w:val="24"/>
          <w:szCs w:val="24"/>
        </w:rPr>
        <w:t xml:space="preserve"> powołany w</w:t>
      </w:r>
      <w:r w:rsidR="008372F8" w:rsidRPr="007237F6">
        <w:rPr>
          <w:rFonts w:ascii="Garamond" w:hAnsi="Garamond"/>
          <w:sz w:val="24"/>
          <w:szCs w:val="24"/>
        </w:rPr>
        <w:t> </w:t>
      </w:r>
      <w:r w:rsidR="001E134A" w:rsidRPr="007237F6">
        <w:rPr>
          <w:rFonts w:ascii="Garamond" w:hAnsi="Garamond"/>
          <w:sz w:val="24"/>
          <w:szCs w:val="24"/>
        </w:rPr>
        <w:t xml:space="preserve">szczególności do: </w:t>
      </w:r>
    </w:p>
    <w:p w14:paraId="6B46C0B2" w14:textId="21023BD8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monitorowania skuteczności wewnętrznych systemów kontroli jakości i</w:t>
      </w:r>
      <w:r w:rsidR="00410E5B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zarządzania ryzykiem instytucji oraz, w stosownych przypadkach, jej komórki audytu wewnętrznego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odniesieniu do sprawozdawczości finansowej badanej instytucji, bez naruszania jej niezależności; </w:t>
      </w:r>
    </w:p>
    <w:p w14:paraId="145B4DD9" w14:textId="0C5DA26A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nadzorowa</w:t>
      </w:r>
      <w:r w:rsidR="00410E5B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ustanowieni</w:t>
      </w:r>
      <w:r w:rsidR="00410E5B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przez instytucję polityki rachunkowości; </w:t>
      </w:r>
    </w:p>
    <w:p w14:paraId="0DC647F1" w14:textId="77777777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monitorować proces sprawozdawczości finansowej i przedstawiać zalecenia mające na celu zapewnienie jego rzetelności; </w:t>
      </w:r>
    </w:p>
    <w:p w14:paraId="0AC28E51" w14:textId="1FCF03E3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dokonywa</w:t>
      </w:r>
      <w:r w:rsidR="00410E5B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przeglądu i monitorowania niezależności biegłych rewidentów lub firm audytorskich w szczególności odpowiedniości świadczenia usług niebędących badaniem sprawozdań finansowych zgodnie z</w:t>
      </w:r>
      <w:r w:rsidR="003F29F4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art. 5 tego rozporządzenia;</w:t>
      </w:r>
    </w:p>
    <w:p w14:paraId="64DA81E1" w14:textId="2B5C0B8A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monitorowa</w:t>
      </w:r>
      <w:r w:rsidR="00410E5B">
        <w:rPr>
          <w:rFonts w:ascii="Garamond" w:hAnsi="Garamond"/>
          <w:sz w:val="24"/>
          <w:szCs w:val="24"/>
        </w:rPr>
        <w:t>nia</w:t>
      </w:r>
      <w:r w:rsidRPr="007237F6">
        <w:rPr>
          <w:rFonts w:ascii="Garamond" w:hAnsi="Garamond"/>
          <w:sz w:val="24"/>
          <w:szCs w:val="24"/>
        </w:rPr>
        <w:t xml:space="preserve"> badani</w:t>
      </w:r>
      <w:r w:rsidR="00410E5B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ustawowe</w:t>
      </w:r>
      <w:r w:rsidR="00410E5B">
        <w:rPr>
          <w:rFonts w:ascii="Garamond" w:hAnsi="Garamond"/>
          <w:sz w:val="24"/>
          <w:szCs w:val="24"/>
        </w:rPr>
        <w:t>go</w:t>
      </w:r>
      <w:r w:rsidRPr="007237F6">
        <w:rPr>
          <w:rFonts w:ascii="Garamond" w:hAnsi="Garamond"/>
          <w:sz w:val="24"/>
          <w:szCs w:val="24"/>
        </w:rPr>
        <w:t xml:space="preserve"> rocznego i skonsolidowanego sprawozdania finansowego, w szczególności jego przeprowadzenie, uwzględniając wszelkie ustalenia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wnioski właściwego organu zgodnie z art. 26 ust. 6 rozporządzenia (UE) nr 537/2014; </w:t>
      </w:r>
    </w:p>
    <w:p w14:paraId="2DB58761" w14:textId="28A22B93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ponos</w:t>
      </w:r>
      <w:r w:rsidR="00410E5B">
        <w:rPr>
          <w:rFonts w:ascii="Garamond" w:hAnsi="Garamond"/>
          <w:sz w:val="24"/>
          <w:szCs w:val="24"/>
        </w:rPr>
        <w:t>zenia</w:t>
      </w:r>
      <w:r w:rsidRPr="007237F6">
        <w:rPr>
          <w:rFonts w:ascii="Garamond" w:hAnsi="Garamond"/>
          <w:sz w:val="24"/>
          <w:szCs w:val="24"/>
        </w:rPr>
        <w:t xml:space="preserve"> odpowiedzialnoś</w:t>
      </w:r>
      <w:r w:rsidR="00410E5B">
        <w:rPr>
          <w:rFonts w:ascii="Garamond" w:hAnsi="Garamond"/>
          <w:sz w:val="24"/>
          <w:szCs w:val="24"/>
        </w:rPr>
        <w:t>ci</w:t>
      </w:r>
      <w:r w:rsidRPr="007237F6">
        <w:rPr>
          <w:rFonts w:ascii="Garamond" w:hAnsi="Garamond"/>
          <w:sz w:val="24"/>
          <w:szCs w:val="24"/>
        </w:rPr>
        <w:t xml:space="preserve"> za procedurę wyboru zewnętrznego biegłego rewidenta lub rewidentów bądź firmy audytorskiej lub firm audytorskich i zalecać zatwierdzenie ich powołania, wynagrodzenia oraz odwołania przez właściwe organy instytucji;</w:t>
      </w:r>
    </w:p>
    <w:p w14:paraId="28176AA2" w14:textId="21E0078B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dokonywa</w:t>
      </w:r>
      <w:r w:rsidR="00410E5B">
        <w:rPr>
          <w:rFonts w:ascii="Garamond" w:hAnsi="Garamond"/>
          <w:sz w:val="24"/>
          <w:szCs w:val="24"/>
        </w:rPr>
        <w:t>nie</w:t>
      </w:r>
      <w:r w:rsidRPr="007237F6">
        <w:rPr>
          <w:rFonts w:ascii="Garamond" w:hAnsi="Garamond"/>
          <w:sz w:val="24"/>
          <w:szCs w:val="24"/>
        </w:rPr>
        <w:t xml:space="preserve"> przeglądu zakresu i częstotliwości badania ustawowego rocznych lub skonsolidowanych sprawozdań finansowych;</w:t>
      </w:r>
    </w:p>
    <w:p w14:paraId="25628CE3" w14:textId="69E976D4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zgodnie z art. 39 ust. 6 lit. a) dyrektywy 2006/43/UE poinformowa</w:t>
      </w:r>
      <w:r w:rsidR="00410E5B">
        <w:rPr>
          <w:rFonts w:ascii="Garamond" w:hAnsi="Garamond"/>
          <w:sz w:val="24"/>
          <w:szCs w:val="24"/>
        </w:rPr>
        <w:t>nie</w:t>
      </w:r>
      <w:r w:rsidRPr="007237F6">
        <w:rPr>
          <w:rFonts w:ascii="Garamond" w:hAnsi="Garamond"/>
          <w:sz w:val="24"/>
          <w:szCs w:val="24"/>
        </w:rPr>
        <w:t xml:space="preserve"> organ</w:t>
      </w:r>
      <w:r w:rsidR="00410E5B">
        <w:rPr>
          <w:rFonts w:ascii="Garamond" w:hAnsi="Garamond"/>
          <w:sz w:val="24"/>
          <w:szCs w:val="24"/>
        </w:rPr>
        <w:t>u</w:t>
      </w:r>
      <w:r w:rsidRPr="007237F6">
        <w:rPr>
          <w:rFonts w:ascii="Garamond" w:hAnsi="Garamond"/>
          <w:sz w:val="24"/>
          <w:szCs w:val="24"/>
        </w:rPr>
        <w:t xml:space="preserve"> administracyjn</w:t>
      </w:r>
      <w:r w:rsidR="00410E5B">
        <w:rPr>
          <w:rFonts w:ascii="Garamond" w:hAnsi="Garamond"/>
          <w:sz w:val="24"/>
          <w:szCs w:val="24"/>
        </w:rPr>
        <w:t>ego</w:t>
      </w:r>
      <w:r w:rsidRPr="007237F6">
        <w:rPr>
          <w:rFonts w:ascii="Garamond" w:hAnsi="Garamond"/>
          <w:sz w:val="24"/>
          <w:szCs w:val="24"/>
        </w:rPr>
        <w:t xml:space="preserve"> lub nadzorcz</w:t>
      </w:r>
      <w:r w:rsidR="00410E5B">
        <w:rPr>
          <w:rFonts w:ascii="Garamond" w:hAnsi="Garamond"/>
          <w:sz w:val="24"/>
          <w:szCs w:val="24"/>
        </w:rPr>
        <w:t>ego</w:t>
      </w:r>
      <w:r w:rsidRPr="007237F6">
        <w:rPr>
          <w:rFonts w:ascii="Garamond" w:hAnsi="Garamond"/>
          <w:sz w:val="24"/>
          <w:szCs w:val="24"/>
        </w:rPr>
        <w:t xml:space="preserve"> badanej jednostki o wynikach badania ustawowego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wyjaśni</w:t>
      </w:r>
      <w:r w:rsidR="00410E5B">
        <w:rPr>
          <w:rFonts w:ascii="Garamond" w:hAnsi="Garamond"/>
          <w:sz w:val="24"/>
          <w:szCs w:val="24"/>
        </w:rPr>
        <w:t>enie</w:t>
      </w:r>
      <w:r w:rsidRPr="007237F6">
        <w:rPr>
          <w:rFonts w:ascii="Garamond" w:hAnsi="Garamond"/>
          <w:sz w:val="24"/>
          <w:szCs w:val="24"/>
        </w:rPr>
        <w:t>, w jaki sposób badanie to przyczyniło się do rzetelności sprawozdawczości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finansowej i jaka była rola komitetu ds. audytu w tym procesie; oraz</w:t>
      </w:r>
    </w:p>
    <w:p w14:paraId="50C3B79B" w14:textId="266A4C53" w:rsidR="001E134A" w:rsidRPr="007237F6" w:rsidRDefault="001E134A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otrzymywa</w:t>
      </w:r>
      <w:r w:rsidR="00410E5B">
        <w:rPr>
          <w:rFonts w:ascii="Garamond" w:hAnsi="Garamond"/>
          <w:sz w:val="24"/>
          <w:szCs w:val="24"/>
        </w:rPr>
        <w:t>nie</w:t>
      </w:r>
      <w:r w:rsidRPr="007237F6">
        <w:rPr>
          <w:rFonts w:ascii="Garamond" w:hAnsi="Garamond"/>
          <w:sz w:val="24"/>
          <w:szCs w:val="24"/>
        </w:rPr>
        <w:t xml:space="preserve"> i uwzględnia</w:t>
      </w:r>
      <w:r w:rsidR="00410E5B">
        <w:rPr>
          <w:rFonts w:ascii="Garamond" w:hAnsi="Garamond"/>
          <w:sz w:val="24"/>
          <w:szCs w:val="24"/>
        </w:rPr>
        <w:t>nie</w:t>
      </w:r>
      <w:r w:rsidRPr="007237F6">
        <w:rPr>
          <w:rFonts w:ascii="Garamond" w:hAnsi="Garamond"/>
          <w:sz w:val="24"/>
          <w:szCs w:val="24"/>
        </w:rPr>
        <w:t xml:space="preserve"> sprawozdania z badań.</w:t>
      </w:r>
    </w:p>
    <w:p w14:paraId="7F6798A9" w14:textId="77777777" w:rsidR="001E134A" w:rsidRPr="007237F6" w:rsidRDefault="001E134A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Skład Komitetu Audytu odpowiada wymaganiom Ustawy z dnia 11 maja 2017 roku o biegłych rewidentach, firmach audytorskich oraz nadzorze publicznym.</w:t>
      </w:r>
    </w:p>
    <w:p w14:paraId="4458860D" w14:textId="77777777" w:rsidR="001E134A" w:rsidRPr="007237F6" w:rsidRDefault="001E134A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Szczegółowe zasady funkcjonowania Komitetu Audytu reguluje Regulamin Komitetu Audytu oraz ustawa o biegłych rewidentach, firmach audytorskich oraz nadzorze publicznym. </w:t>
      </w:r>
    </w:p>
    <w:p w14:paraId="131B87E7" w14:textId="20418152" w:rsidR="008372F8" w:rsidRPr="007237F6" w:rsidRDefault="008372F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Do składu Rady Nadzorczej wybierani są </w:t>
      </w:r>
      <w:r w:rsidR="00CF7C80">
        <w:rPr>
          <w:rFonts w:ascii="Garamond" w:hAnsi="Garamond"/>
          <w:sz w:val="24"/>
          <w:szCs w:val="24"/>
        </w:rPr>
        <w:t>Członkowie Banku</w:t>
      </w:r>
      <w:r w:rsidRPr="007237F6">
        <w:rPr>
          <w:rFonts w:ascii="Garamond" w:hAnsi="Garamond"/>
          <w:sz w:val="24"/>
          <w:szCs w:val="24"/>
        </w:rPr>
        <w:t>, zgodnie z</w:t>
      </w:r>
      <w:r w:rsidR="006E1082">
        <w:rPr>
          <w:rFonts w:ascii="Garamond" w:hAnsi="Garamond"/>
          <w:sz w:val="24"/>
          <w:szCs w:val="24"/>
        </w:rPr>
        <w:t xml:space="preserve"> przepisami ustawy </w:t>
      </w:r>
      <w:r w:rsidRPr="007237F6">
        <w:rPr>
          <w:rFonts w:ascii="Garamond" w:hAnsi="Garamond"/>
          <w:sz w:val="24"/>
          <w:szCs w:val="24"/>
        </w:rPr>
        <w:t xml:space="preserve"> Praw</w:t>
      </w:r>
      <w:r w:rsidR="00C3712F">
        <w:rPr>
          <w:rFonts w:ascii="Garamond" w:hAnsi="Garamond"/>
          <w:sz w:val="24"/>
          <w:szCs w:val="24"/>
        </w:rPr>
        <w:t>i</w:t>
      </w:r>
      <w:r w:rsidRPr="007237F6">
        <w:rPr>
          <w:rFonts w:ascii="Garamond" w:hAnsi="Garamond"/>
          <w:sz w:val="24"/>
          <w:szCs w:val="24"/>
        </w:rPr>
        <w:t xml:space="preserve"> spółdzielcz</w:t>
      </w:r>
      <w:r w:rsidR="00C3712F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. </w:t>
      </w:r>
    </w:p>
    <w:p w14:paraId="223960F7" w14:textId="77777777" w:rsidR="008372F8" w:rsidRPr="007237F6" w:rsidRDefault="008372F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Członkowie Rady Nadzorczej, w tym członkowie Komitetu Audytu, podlegają ocenie odpowiedniości przez organ dokonujący ich wyboru, na zasadach określonych w Polityce </w:t>
      </w:r>
      <w:r w:rsidRPr="007237F6">
        <w:rPr>
          <w:rFonts w:ascii="Garamond" w:hAnsi="Garamond"/>
          <w:sz w:val="24"/>
          <w:szCs w:val="24"/>
        </w:rPr>
        <w:lastRenderedPageBreak/>
        <w:t>oceny odpowiedniości kandydatów na członków Rady Nadzorczej, członków Rady Nadzorczej oraz Rady Nadzorczej.</w:t>
      </w:r>
    </w:p>
    <w:p w14:paraId="0E49B87A" w14:textId="0D2098CC" w:rsidR="008372F8" w:rsidRPr="007237F6" w:rsidRDefault="008372F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D36E481" w14:textId="777777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Jeśli członkowie Rady Nadzorczej Banku zgłoszą zdanie odrębne, informację oraz powody zgłoszenia zamieszcza się w protokole. </w:t>
      </w:r>
    </w:p>
    <w:p w14:paraId="7DE90DF0" w14:textId="777777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 Banku w ramach monitorowania wykonywania czynności rewizji finansowej uzgadnia zasady przeprowadzania czynności przez podmiot uprawniony do badania sprawozdań finansowych, w tym w zakresie proponowanego planu czynności. </w:t>
      </w:r>
    </w:p>
    <w:p w14:paraId="70C8B1A9" w14:textId="19A5EA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Banku podczas przedstawiania wyników czynności rewizji finansowej przez podmiot uprawniony do badania sprawozdań finansowych wyraża swoją opinię o</w:t>
      </w:r>
      <w:r w:rsidR="008D015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sprawozdaniu finansowym, którego dotyczą czynności rewizji finansowej. </w:t>
      </w:r>
    </w:p>
    <w:p w14:paraId="5E549BCD" w14:textId="53C8F836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Współpraca Rady Nadzorczej z podmiotem uprawionym do badania sprawozdań finansowych jest udokumentowana. Rozwiązanie umowy z podmiotem uprawnionym do badania sprawozdań finansowych poddane jest ocenie </w:t>
      </w:r>
      <w:r w:rsidR="00410E5B">
        <w:rPr>
          <w:rFonts w:ascii="Garamond" w:hAnsi="Garamond"/>
          <w:sz w:val="24"/>
          <w:szCs w:val="24"/>
        </w:rPr>
        <w:t>R</w:t>
      </w:r>
      <w:r w:rsidRPr="007237F6">
        <w:rPr>
          <w:rFonts w:ascii="Garamond" w:hAnsi="Garamond"/>
          <w:sz w:val="24"/>
          <w:szCs w:val="24"/>
        </w:rPr>
        <w:t xml:space="preserve">ady </w:t>
      </w:r>
      <w:r w:rsidR="00410E5B">
        <w:rPr>
          <w:rFonts w:ascii="Garamond" w:hAnsi="Garamond"/>
          <w:sz w:val="24"/>
          <w:szCs w:val="24"/>
        </w:rPr>
        <w:t>N</w:t>
      </w:r>
      <w:r w:rsidRPr="007237F6">
        <w:rPr>
          <w:rFonts w:ascii="Garamond" w:hAnsi="Garamond"/>
          <w:sz w:val="24"/>
          <w:szCs w:val="24"/>
        </w:rPr>
        <w:t>adzorczej, który informację o przyczynach tego rozwiązania zamieszcza w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corocznym raporcie zawierającym ocenę sprawozdań finansowych Banku. </w:t>
      </w:r>
    </w:p>
    <w:p w14:paraId="6EE9E79A" w14:textId="6E5EE9FB" w:rsidR="008372F8" w:rsidRPr="007237F6" w:rsidRDefault="008372F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1E6700E0" w14:textId="3FA9C106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Każdy z członków Rady Nadzorczej powinien wykonywać swoją funkcję w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sposób aktywny, wykazując się niezbędnym poziomem zaangażowania w pracę Rady Nadzorczej.</w:t>
      </w:r>
    </w:p>
    <w:p w14:paraId="709943A6" w14:textId="777777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Niezbędny poziom zaangażowania przejawia się w poświęcaniu czasu w wymiarze umożliwiającym należyte wykonywanie zadań rady nadzorczej Banku. </w:t>
      </w:r>
    </w:p>
    <w:p w14:paraId="42C532F0" w14:textId="777777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Pozostała aktywność zawodowa członka Rady Nadzorczej Banku nie odbywa się z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uszczerbkiem dla jakości i efektywności sprawowanego nadzoru. </w:t>
      </w:r>
    </w:p>
    <w:p w14:paraId="223FEFF0" w14:textId="777777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Członek Rady Nadzorczej Banku powstrzymuje się od podejmowania aktywności zawodowej lub pozazawodowej, która mogłaby prowadzić do powstania konfliktu interesów lub w inny sposób wpływać negatywnie na jego reputację jako członka Rady Nadzorczej Banku.</w:t>
      </w:r>
    </w:p>
    <w:p w14:paraId="09E4A05C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Zasady ograniczania konfliktu interesów określone są w odpowiednich  regulacjach wewnętrznej określających między innymi zasady identyfikacji, zarządzania oraz zapobiegania konfliktom interesów, a także zasady wyłączania członka Rady Nadzorczej Banku w przypadku zaistnienia konfliktu interesów lub możliwości jego zaistnienia. </w:t>
      </w:r>
    </w:p>
    <w:p w14:paraId="22E8988E" w14:textId="19AF6C3A" w:rsidR="008372F8" w:rsidRPr="007237F6" w:rsidRDefault="008372F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0313CBA" w14:textId="77777777" w:rsidR="008372F8" w:rsidRPr="007237F6" w:rsidRDefault="008372F8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0BF38DCE" w14:textId="77777777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Nadzór wykonywany przez Radę Nadzorczą Banku ma charakter stały, a posiedzenia Rady Nadzorczej Banku odbywają się w zależności od potrzeb, nie rzadziej niż 6 razy w roku.</w:t>
      </w:r>
    </w:p>
    <w:p w14:paraId="1993D056" w14:textId="440B9BEB" w:rsidR="008372F8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przypadku stwierdzenia w toku wykonywania nadzoru nadużyć, poważnych błędów,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tym mających znaczący wpływ na treść informacji finansowej lub innych poważnych nieprawidłowości w funkcjonowaniu Banku  Rada Nadzorcza podejmuje odpowiednie działania, w szczególności powinna zażądać od Zarządu wyjaśnień i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zalecić mu wprowadzenie skutecznych rozwiązań przeciwdziałających wystąpieniu podobnych nieprawidłowości w przyszłości. </w:t>
      </w:r>
    </w:p>
    <w:p w14:paraId="56AC2512" w14:textId="5264BBEE" w:rsidR="002A16E2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Nadzorcza, jeżeli jest to niezbędne dla sprawowania prawidłowego i</w:t>
      </w:r>
      <w:r w:rsidR="008372F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efektywnego nadzoru, może wystąpić do Zarządu  o powołanie wybranego podmiotu zewnętrznego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celu przeprowadzenia określonych analiz lub zasięgnięcia jego opinii w określonych sprawach. </w:t>
      </w:r>
    </w:p>
    <w:p w14:paraId="44B96924" w14:textId="77777777" w:rsidR="000B3226" w:rsidRPr="00BF0059" w:rsidRDefault="000B3226" w:rsidP="00BF0059">
      <w:pPr>
        <w:jc w:val="both"/>
        <w:rPr>
          <w:rFonts w:ascii="Garamond" w:hAnsi="Garamond"/>
          <w:sz w:val="24"/>
          <w:szCs w:val="24"/>
        </w:rPr>
      </w:pPr>
    </w:p>
    <w:p w14:paraId="2516F55D" w14:textId="77777777" w:rsidR="003F29F4" w:rsidRPr="007237F6" w:rsidRDefault="003F29F4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7CCFB1BF" w14:textId="1FEC42D4" w:rsidR="003F29F4" w:rsidRPr="007237F6" w:rsidRDefault="003F29F4" w:rsidP="007237F6">
      <w:pPr>
        <w:tabs>
          <w:tab w:val="left" w:pos="142"/>
        </w:tabs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przypadku niepełnego składu Rady Nadzorczej, mniejszego niż minimalna liczba członków wskazana </w:t>
      </w:r>
      <w:r w:rsidR="000B3226">
        <w:rPr>
          <w:rFonts w:ascii="Garamond" w:hAnsi="Garamond"/>
          <w:sz w:val="24"/>
          <w:szCs w:val="24"/>
        </w:rPr>
        <w:t>w Statucie, konieczne jest przeprowadzenie wyborów</w:t>
      </w:r>
      <w:r w:rsidRPr="007237F6">
        <w:rPr>
          <w:rFonts w:ascii="Garamond" w:hAnsi="Garamond"/>
          <w:sz w:val="24"/>
          <w:szCs w:val="24"/>
        </w:rPr>
        <w:t xml:space="preserve"> w celu niezwłocznego uzupe</w:t>
      </w:r>
      <w:r w:rsidR="000B3226">
        <w:rPr>
          <w:rFonts w:ascii="Garamond" w:hAnsi="Garamond"/>
          <w:sz w:val="24"/>
          <w:szCs w:val="24"/>
        </w:rPr>
        <w:t>łnienia składu Rady Nadzorczej, zgodnie ze Statutem Banku.</w:t>
      </w:r>
    </w:p>
    <w:p w14:paraId="46E2D8BC" w14:textId="77777777" w:rsidR="003F29F4" w:rsidRPr="007237F6" w:rsidRDefault="003F29F4" w:rsidP="007237F6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14:paraId="07A170F4" w14:textId="20669002" w:rsidR="003F29F4" w:rsidRPr="007237F6" w:rsidRDefault="003F29F4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776ED26" w14:textId="77777777" w:rsidR="003F29F4" w:rsidRPr="007237F6" w:rsidRDefault="003F29F4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Banku  będzie dokonywała regularnej oceny stosowania zasad wprowadzonych niniejszym dokumentem, a wyniki tej oceny będą udostępniane na stronie internetowej Banku oraz przekazywane pozostałym organom Banku.</w:t>
      </w:r>
    </w:p>
    <w:p w14:paraId="0874A09A" w14:textId="77777777" w:rsidR="003F29F4" w:rsidRPr="007237F6" w:rsidRDefault="003F29F4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D41E698" w14:textId="77777777" w:rsidR="003F29F4" w:rsidRPr="007237F6" w:rsidRDefault="003F29F4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6</w:t>
      </w:r>
    </w:p>
    <w:p w14:paraId="64384D54" w14:textId="77777777" w:rsidR="003F29F4" w:rsidRPr="007237F6" w:rsidRDefault="003F29F4" w:rsidP="007237F6">
      <w:pPr>
        <w:spacing w:line="276" w:lineRule="auto"/>
        <w:ind w:left="360"/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Polityka w zakresie outsourcingu</w:t>
      </w:r>
    </w:p>
    <w:p w14:paraId="5EFB6FF2" w14:textId="77777777" w:rsidR="003F29F4" w:rsidRPr="007237F6" w:rsidRDefault="003F29F4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6F028E59" w14:textId="322EF428" w:rsidR="003F29F4" w:rsidRPr="007237F6" w:rsidRDefault="003F29F4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01BDAB3" w14:textId="77777777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Banku funkcjonuje </w:t>
      </w:r>
      <w:r w:rsidR="003F29F4" w:rsidRPr="007237F6">
        <w:rPr>
          <w:rFonts w:ascii="Garamond" w:hAnsi="Garamond"/>
          <w:sz w:val="24"/>
          <w:szCs w:val="24"/>
        </w:rPr>
        <w:t>P</w:t>
      </w:r>
      <w:r w:rsidRPr="007237F6">
        <w:rPr>
          <w:rFonts w:ascii="Garamond" w:hAnsi="Garamond"/>
          <w:sz w:val="24"/>
          <w:szCs w:val="24"/>
        </w:rPr>
        <w:t>olityka w zakresie outsourcing</w:t>
      </w:r>
      <w:r w:rsidR="003F29F4" w:rsidRPr="007237F6">
        <w:rPr>
          <w:rFonts w:ascii="Garamond" w:hAnsi="Garamond"/>
          <w:sz w:val="24"/>
          <w:szCs w:val="24"/>
        </w:rPr>
        <w:t xml:space="preserve">u. </w:t>
      </w:r>
    </w:p>
    <w:p w14:paraId="57A1F44B" w14:textId="2D728839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Polityka uwzględnia wpływ outsourcingu na działalność Banku oraz na poszczególne rodzaje ryzyka (np. ryzyko operacyjne, w tym prawne i informatyczne; ryzyko utraty reputacji; oraz ryzyko koncentracji), a także rozwiązania w zakresie sprawozdawczości i monitorowania, które należy wdrażać od etapu rozważania umowy outsourcingowej do zakończenia jej obowiązywania (w tym podczas analizy kosztów i korzyści outsourcingu, zawierania umowy outsourcingowej, realizacji umowy do chwili jej wygaśnięcia, wdrażania planów awaryjnych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strategii wyjścia). </w:t>
      </w:r>
    </w:p>
    <w:p w14:paraId="7B25D754" w14:textId="77777777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pozostaje w pełni odpowiedzialny za wszystkie usługi i rodzaje działalności podlegające outsourcingowi oraz wynikające z nich decyzje kierownictwa. </w:t>
      </w:r>
    </w:p>
    <w:p w14:paraId="75C2BBE8" w14:textId="77777777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Outsourcing nie utrudnia skutecznego nadzoru nad instytucją oraz nie narusza żadnych ograniczeń nadzorczych dotyczących usług i działalności. </w:t>
      </w:r>
    </w:p>
    <w:p w14:paraId="4AAFA000" w14:textId="1924D5B7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wyborze istotnego dostawcy usług zewnętrznych lub w przypadku outsourcingu usług </w:t>
      </w:r>
      <w:r w:rsidR="003F29F4" w:rsidRPr="007237F6">
        <w:rPr>
          <w:rFonts w:ascii="Garamond" w:hAnsi="Garamond"/>
          <w:sz w:val="24"/>
          <w:szCs w:val="24"/>
        </w:rPr>
        <w:t xml:space="preserve">Bank winien </w:t>
      </w:r>
      <w:r w:rsidRPr="007237F6">
        <w:rPr>
          <w:rFonts w:ascii="Garamond" w:hAnsi="Garamond"/>
          <w:sz w:val="24"/>
          <w:szCs w:val="24"/>
        </w:rPr>
        <w:t>uwzględnić, czy usługodawca ustanowił odpowiednie standardy etyczne lub kodeks postępowania</w:t>
      </w:r>
      <w:r w:rsidR="00C3712F">
        <w:rPr>
          <w:rFonts w:ascii="Garamond" w:hAnsi="Garamond"/>
          <w:sz w:val="24"/>
          <w:szCs w:val="24"/>
        </w:rPr>
        <w:t xml:space="preserve">. </w:t>
      </w:r>
    </w:p>
    <w:p w14:paraId="4E9A0F6B" w14:textId="77777777" w:rsidR="003F29F4" w:rsidRPr="007237F6" w:rsidRDefault="003F29F4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7</w:t>
      </w:r>
    </w:p>
    <w:p w14:paraId="074E5989" w14:textId="77777777" w:rsidR="003F29F4" w:rsidRPr="007237F6" w:rsidRDefault="003F29F4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Kultura ryzyka</w:t>
      </w:r>
      <w:r w:rsidR="008B6B2D" w:rsidRPr="007237F6">
        <w:rPr>
          <w:rFonts w:ascii="Garamond" w:hAnsi="Garamond"/>
          <w:b/>
          <w:sz w:val="24"/>
          <w:szCs w:val="24"/>
        </w:rPr>
        <w:t xml:space="preserve"> i standardy etyczne</w:t>
      </w:r>
    </w:p>
    <w:p w14:paraId="63CD9231" w14:textId="77777777" w:rsidR="002A16E2" w:rsidRPr="007237F6" w:rsidRDefault="002A16E2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06E4F32" w14:textId="77777777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Banku funkcjonuje zintegrowana, obejmująca całość działalności Banku kultura ryzyka oparta na pełnym zrozumieniu i całościowym oglądzie ryzyka, na jakie Bank jest narażony oraz sposobu zarządzania nim, uwzględniając skłonność do podejmowania ryzyka</w:t>
      </w:r>
      <w:r w:rsidR="008B6B2D" w:rsidRPr="007237F6">
        <w:rPr>
          <w:rFonts w:ascii="Garamond" w:hAnsi="Garamond"/>
          <w:sz w:val="24"/>
          <w:szCs w:val="24"/>
        </w:rPr>
        <w:t>.</w:t>
      </w:r>
    </w:p>
    <w:p w14:paraId="02E11280" w14:textId="3D5D9C60" w:rsidR="003F29F4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rozwija kulturę ryzyka poprzez wrażanie polityki, komunikacji i szkoleń dla pracowników dotyczących strategii i profilu instytucji, a także dostosowuje komunikację i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szkolenia dla pracowników w celu uwzględnienia obowiązków tych pracowników w</w:t>
      </w:r>
      <w:r w:rsidR="00925E3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zakresie podejmowania ryzyka i zarządzania nim. </w:t>
      </w:r>
    </w:p>
    <w:p w14:paraId="0F8F6A1B" w14:textId="77777777" w:rsidR="008B6B2D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Pracownicy powinni mieć pełną świadomość swoich obowiązków związanych z</w:t>
      </w:r>
      <w:r w:rsidR="008B6B2D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zarządzaniem ryzykiem. </w:t>
      </w:r>
    </w:p>
    <w:p w14:paraId="0BE64ABB" w14:textId="22292B15" w:rsidR="002A16E2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Kultura ryzyka obejmuje w szczególności</w:t>
      </w:r>
      <w:r w:rsidR="008B6B2D" w:rsidRPr="007237F6">
        <w:rPr>
          <w:rFonts w:ascii="Garamond" w:hAnsi="Garamond"/>
          <w:sz w:val="24"/>
          <w:szCs w:val="24"/>
        </w:rPr>
        <w:t>:</w:t>
      </w:r>
      <w:r w:rsidRPr="007237F6">
        <w:rPr>
          <w:rFonts w:ascii="Garamond" w:hAnsi="Garamond"/>
          <w:sz w:val="24"/>
          <w:szCs w:val="24"/>
        </w:rPr>
        <w:t xml:space="preserve"> znajomość i zrozumienie podstawowych wartości instytucji przez pracowników na wszystkich szczeblach, a także świadomość  odpowiedzialności za swoje działania związane z zachowaniem Banku w zakresie podejmowania ryzyka, skuteczną komunikację i krytykę pomiędzy pracownikami, a także </w:t>
      </w:r>
      <w:r w:rsidRPr="007237F6">
        <w:rPr>
          <w:rFonts w:ascii="Garamond" w:hAnsi="Garamond"/>
          <w:sz w:val="24"/>
          <w:szCs w:val="24"/>
        </w:rPr>
        <w:lastRenderedPageBreak/>
        <w:t xml:space="preserve">stosowanie odpowiednich zachęt w dostosowywaniu </w:t>
      </w:r>
      <w:proofErr w:type="spellStart"/>
      <w:r w:rsidRPr="007237F6">
        <w:rPr>
          <w:rFonts w:ascii="Garamond" w:hAnsi="Garamond"/>
          <w:sz w:val="24"/>
          <w:szCs w:val="24"/>
        </w:rPr>
        <w:t>zachowań</w:t>
      </w:r>
      <w:proofErr w:type="spellEnd"/>
      <w:r w:rsidRPr="007237F6">
        <w:rPr>
          <w:rFonts w:ascii="Garamond" w:hAnsi="Garamond"/>
          <w:sz w:val="24"/>
          <w:szCs w:val="24"/>
        </w:rPr>
        <w:t xml:space="preserve"> w zakresie podejmowania ryzyka do profilu ryzyka </w:t>
      </w:r>
      <w:r w:rsidR="008B6B2D" w:rsidRPr="007237F6">
        <w:rPr>
          <w:rFonts w:ascii="Garamond" w:hAnsi="Garamond"/>
          <w:sz w:val="24"/>
          <w:szCs w:val="24"/>
        </w:rPr>
        <w:t xml:space="preserve">Banku </w:t>
      </w:r>
      <w:r w:rsidRPr="007237F6">
        <w:rPr>
          <w:rFonts w:ascii="Garamond" w:hAnsi="Garamond"/>
          <w:sz w:val="24"/>
          <w:szCs w:val="24"/>
        </w:rPr>
        <w:t>i je</w:t>
      </w:r>
      <w:r w:rsidR="008B6B2D" w:rsidRPr="007237F6">
        <w:rPr>
          <w:rFonts w:ascii="Garamond" w:hAnsi="Garamond"/>
          <w:sz w:val="24"/>
          <w:szCs w:val="24"/>
        </w:rPr>
        <w:t>go</w:t>
      </w:r>
      <w:r w:rsidRPr="007237F6">
        <w:rPr>
          <w:rFonts w:ascii="Garamond" w:hAnsi="Garamond"/>
          <w:sz w:val="24"/>
          <w:szCs w:val="24"/>
        </w:rPr>
        <w:t xml:space="preserve"> długoterminowych interesów. </w:t>
      </w:r>
    </w:p>
    <w:p w14:paraId="0FAEAE85" w14:textId="77777777" w:rsidR="00BF0059" w:rsidRPr="00BF0059" w:rsidRDefault="00BF0059" w:rsidP="00BF0059">
      <w:pPr>
        <w:jc w:val="both"/>
        <w:rPr>
          <w:rFonts w:ascii="Garamond" w:hAnsi="Garamond"/>
          <w:sz w:val="24"/>
          <w:szCs w:val="24"/>
        </w:rPr>
      </w:pPr>
    </w:p>
    <w:p w14:paraId="1CCDA5E7" w14:textId="1CF4423D" w:rsidR="003F29F4" w:rsidRPr="007237F6" w:rsidRDefault="003F29F4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18624AB7" w14:textId="144998F8" w:rsidR="008B6B2D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 opracowuje i przyjmuje wysokie standardy etyczne i zawodowe, które mają na celu zm</w:t>
      </w:r>
      <w:r w:rsidR="008B6B2D" w:rsidRPr="007237F6">
        <w:rPr>
          <w:rFonts w:ascii="Garamond" w:hAnsi="Garamond"/>
          <w:sz w:val="24"/>
          <w:szCs w:val="24"/>
        </w:rPr>
        <w:t>inimalizowanie</w:t>
      </w:r>
      <w:r w:rsidRPr="007237F6">
        <w:rPr>
          <w:rFonts w:ascii="Garamond" w:hAnsi="Garamond"/>
          <w:sz w:val="24"/>
          <w:szCs w:val="24"/>
        </w:rPr>
        <w:t xml:space="preserve"> ryzyka, na jakie narażona jest</w:t>
      </w:r>
      <w:r w:rsidR="008B6B2D" w:rsidRPr="007237F6">
        <w:rPr>
          <w:rFonts w:ascii="Garamond" w:hAnsi="Garamond"/>
          <w:sz w:val="24"/>
          <w:szCs w:val="24"/>
        </w:rPr>
        <w:t xml:space="preserve"> Bank</w:t>
      </w:r>
      <w:r w:rsidRPr="007237F6">
        <w:rPr>
          <w:rFonts w:ascii="Garamond" w:hAnsi="Garamond"/>
          <w:sz w:val="24"/>
          <w:szCs w:val="24"/>
        </w:rPr>
        <w:t>, w szczególności ryzyka operacyjnego i utraty reputacji, które mogą wywierać znaczący niekorzystny wpływ na rentowność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stabilność </w:t>
      </w:r>
      <w:r w:rsidR="008B6B2D" w:rsidRPr="007237F6">
        <w:rPr>
          <w:rFonts w:ascii="Garamond" w:hAnsi="Garamond"/>
          <w:sz w:val="24"/>
          <w:szCs w:val="24"/>
        </w:rPr>
        <w:t xml:space="preserve">Banku </w:t>
      </w:r>
      <w:r w:rsidRPr="007237F6">
        <w:rPr>
          <w:rFonts w:ascii="Garamond" w:hAnsi="Garamond"/>
          <w:sz w:val="24"/>
          <w:szCs w:val="24"/>
        </w:rPr>
        <w:t xml:space="preserve">w wyniku kar pieniężnych, kosztów postępowań sądowych, ograniczeń nałożonych przez właściwe organy, innych konsekwencji finansowych i karnych, a także utraty wartości marki i zaufania konsumentów, a także dokłada wszelkich starań by były przestrzegane i upowszechniane przez pracowników. </w:t>
      </w:r>
    </w:p>
    <w:p w14:paraId="0DD90003" w14:textId="1110B10E" w:rsidR="008B6B2D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  <w:lang w:eastAsia="pl-PL"/>
        </w:rPr>
        <w:t>Bank monitoruje zgodność z przyjętymi standardami oraz zapewnia ich przestrzeganie i</w:t>
      </w:r>
      <w:r w:rsidR="00E952D7">
        <w:rPr>
          <w:rFonts w:ascii="Garamond" w:hAnsi="Garamond"/>
          <w:sz w:val="24"/>
          <w:szCs w:val="24"/>
          <w:lang w:eastAsia="pl-PL"/>
        </w:rPr>
        <w:t> </w:t>
      </w:r>
      <w:r w:rsidRPr="007237F6">
        <w:rPr>
          <w:rFonts w:ascii="Garamond" w:hAnsi="Garamond"/>
          <w:sz w:val="24"/>
          <w:szCs w:val="24"/>
          <w:lang w:eastAsia="pl-PL"/>
        </w:rPr>
        <w:t>świadomość poprzez wprowadzenie jasnej i udokumentowanej polityk</w:t>
      </w:r>
      <w:r w:rsidR="008B6B2D" w:rsidRPr="007237F6">
        <w:rPr>
          <w:rFonts w:ascii="Garamond" w:hAnsi="Garamond"/>
          <w:sz w:val="24"/>
          <w:szCs w:val="24"/>
          <w:lang w:eastAsia="pl-PL"/>
        </w:rPr>
        <w:t>i</w:t>
      </w:r>
      <w:r w:rsidRPr="007237F6">
        <w:rPr>
          <w:rFonts w:ascii="Garamond" w:hAnsi="Garamond"/>
          <w:sz w:val="24"/>
          <w:szCs w:val="24"/>
          <w:lang w:eastAsia="pl-PL"/>
        </w:rPr>
        <w:t xml:space="preserve"> przestrzegania wysokich </w:t>
      </w:r>
      <w:r w:rsidRPr="007237F6">
        <w:rPr>
          <w:rFonts w:ascii="Garamond" w:hAnsi="Garamond"/>
          <w:sz w:val="24"/>
          <w:szCs w:val="24"/>
        </w:rPr>
        <w:t>standardów etycznych i zawodowych, jak również zapewnienie odpowiednich szkoleń pracowników z tego zakresu</w:t>
      </w:r>
      <w:r w:rsidR="008B6B2D" w:rsidRPr="007237F6">
        <w:rPr>
          <w:rFonts w:ascii="Garamond" w:hAnsi="Garamond"/>
          <w:sz w:val="24"/>
          <w:szCs w:val="24"/>
        </w:rPr>
        <w:t>.</w:t>
      </w:r>
    </w:p>
    <w:p w14:paraId="58E22909" w14:textId="77777777" w:rsidR="008B6B2D" w:rsidRPr="007237F6" w:rsidRDefault="008B6B2D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8</w:t>
      </w:r>
    </w:p>
    <w:p w14:paraId="6820881C" w14:textId="1C94B349" w:rsidR="002A16E2" w:rsidRDefault="008B6B2D" w:rsidP="00BF005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Konflikt interesów</w:t>
      </w:r>
    </w:p>
    <w:p w14:paraId="2869A4B6" w14:textId="77777777" w:rsidR="00BF0059" w:rsidRPr="00BF0059" w:rsidRDefault="00BF0059" w:rsidP="00BF0059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3129B46" w14:textId="421B3268" w:rsidR="008B6B2D" w:rsidRPr="007237F6" w:rsidRDefault="008B6B2D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BDBA4FF" w14:textId="4FF81939" w:rsidR="008B6B2D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Banku obowi</w:t>
      </w:r>
      <w:r w:rsidR="008B6B2D" w:rsidRPr="007237F6">
        <w:rPr>
          <w:rFonts w:ascii="Garamond" w:hAnsi="Garamond"/>
          <w:sz w:val="24"/>
          <w:szCs w:val="24"/>
        </w:rPr>
        <w:t>ą</w:t>
      </w:r>
      <w:r w:rsidRPr="007237F6">
        <w:rPr>
          <w:rFonts w:ascii="Garamond" w:hAnsi="Garamond"/>
          <w:sz w:val="24"/>
          <w:szCs w:val="24"/>
        </w:rPr>
        <w:t>zuj</w:t>
      </w:r>
      <w:r w:rsidR="00C3712F">
        <w:rPr>
          <w:rFonts w:ascii="Garamond" w:hAnsi="Garamond"/>
          <w:sz w:val="24"/>
          <w:szCs w:val="24"/>
        </w:rPr>
        <w:t xml:space="preserve">ą odpowiednie regulacje, mające na </w:t>
      </w:r>
      <w:r w:rsidRPr="007237F6">
        <w:rPr>
          <w:rFonts w:ascii="Garamond" w:hAnsi="Garamond"/>
          <w:sz w:val="24"/>
          <w:szCs w:val="24"/>
        </w:rPr>
        <w:t>celu identyfikacj</w:t>
      </w:r>
      <w:r w:rsidR="00C3712F">
        <w:rPr>
          <w:rFonts w:ascii="Garamond" w:hAnsi="Garamond"/>
          <w:sz w:val="24"/>
          <w:szCs w:val="24"/>
        </w:rPr>
        <w:t>ę</w:t>
      </w:r>
      <w:r w:rsidRPr="007237F6">
        <w:rPr>
          <w:rFonts w:ascii="Garamond" w:hAnsi="Garamond"/>
          <w:sz w:val="24"/>
          <w:szCs w:val="24"/>
        </w:rPr>
        <w:t xml:space="preserve"> i ocen</w:t>
      </w:r>
      <w:r w:rsidR="00C3712F">
        <w:rPr>
          <w:rFonts w:ascii="Garamond" w:hAnsi="Garamond"/>
          <w:sz w:val="24"/>
          <w:szCs w:val="24"/>
        </w:rPr>
        <w:t>ę</w:t>
      </w:r>
      <w:r w:rsidRPr="007237F6">
        <w:rPr>
          <w:rFonts w:ascii="Garamond" w:hAnsi="Garamond"/>
          <w:sz w:val="24"/>
          <w:szCs w:val="24"/>
        </w:rPr>
        <w:t xml:space="preserve"> rzeczywistych oraz potenc</w:t>
      </w:r>
      <w:r w:rsidR="00C3712F">
        <w:rPr>
          <w:rFonts w:ascii="Garamond" w:hAnsi="Garamond"/>
          <w:sz w:val="24"/>
          <w:szCs w:val="24"/>
        </w:rPr>
        <w:t>ja</w:t>
      </w:r>
      <w:r w:rsidRPr="007237F6">
        <w:rPr>
          <w:rFonts w:ascii="Garamond" w:hAnsi="Garamond"/>
          <w:sz w:val="24"/>
          <w:szCs w:val="24"/>
        </w:rPr>
        <w:t>lnych konfliktów interesów na poziomie instytucjonalnym, zarządzania nimi i ich minimalizacji lub zapobiegania im opracowana, ustanowiona i</w:t>
      </w:r>
      <w:r w:rsidR="00C3712F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zatwierdzona przez Zarząd. </w:t>
      </w:r>
    </w:p>
    <w:p w14:paraId="745598EF" w14:textId="1F53A5E9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Niezależnie od przyjęt</w:t>
      </w:r>
      <w:r w:rsidR="00C3712F">
        <w:rPr>
          <w:rFonts w:ascii="Garamond" w:hAnsi="Garamond"/>
          <w:sz w:val="24"/>
          <w:szCs w:val="24"/>
        </w:rPr>
        <w:t>ych</w:t>
      </w:r>
      <w:r w:rsidRPr="007237F6">
        <w:rPr>
          <w:rFonts w:ascii="Garamond" w:hAnsi="Garamond"/>
          <w:sz w:val="24"/>
          <w:szCs w:val="24"/>
        </w:rPr>
        <w:t xml:space="preserve"> w tym zak</w:t>
      </w:r>
      <w:r w:rsidR="008B6B2D" w:rsidRPr="007237F6">
        <w:rPr>
          <w:rFonts w:ascii="Garamond" w:hAnsi="Garamond"/>
          <w:sz w:val="24"/>
          <w:szCs w:val="24"/>
        </w:rPr>
        <w:t>r</w:t>
      </w:r>
      <w:r w:rsidRPr="007237F6">
        <w:rPr>
          <w:rFonts w:ascii="Garamond" w:hAnsi="Garamond"/>
          <w:sz w:val="24"/>
          <w:szCs w:val="24"/>
        </w:rPr>
        <w:t>esie</w:t>
      </w:r>
      <w:r w:rsidR="00F87AB8">
        <w:rPr>
          <w:rFonts w:ascii="Garamond" w:hAnsi="Garamond"/>
          <w:sz w:val="24"/>
          <w:szCs w:val="24"/>
        </w:rPr>
        <w:t xml:space="preserve"> regulacji</w:t>
      </w:r>
      <w:r w:rsidRPr="007237F6">
        <w:rPr>
          <w:rFonts w:ascii="Garamond" w:hAnsi="Garamond"/>
          <w:sz w:val="24"/>
          <w:szCs w:val="24"/>
        </w:rPr>
        <w:t>, Bank w ramach swoich zasad organizacyjnych i administracyjnych podejmuje odpowiednie kroki w celu wykluczenia niekorzystnego wpływu konfliktów interesów na interesy ich klientów, w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szczególności poprzez: </w:t>
      </w:r>
    </w:p>
    <w:p w14:paraId="12D901E9" w14:textId="759539E8" w:rsidR="008B6B2D" w:rsidRPr="007237F6" w:rsidRDefault="002A16E2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odpowiedni podział obowiązków, np. powierzenie czynności będących w konflikcie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związku z przetwarzaniem transakcji lub świadczeniem usług różnym osobom bądź powierzenie odpowiedzialności za nadzór i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sprawozdawczość w odniesieniu do czynności będących w konflikcie różnym osobom; </w:t>
      </w:r>
    </w:p>
    <w:p w14:paraId="2A2B0F81" w14:textId="77777777" w:rsidR="008B6B2D" w:rsidRPr="007237F6" w:rsidRDefault="002A16E2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ustanowienie barier informacyjnych, np. przez fizyczne rozdzielenie określonych linii biznesowych lub jednostek; oraz </w:t>
      </w:r>
    </w:p>
    <w:p w14:paraId="50FE82C2" w14:textId="084766ED" w:rsidR="002A16E2" w:rsidRPr="007237F6" w:rsidRDefault="002A16E2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ustanowienie odpowiednich procedur w odniesieniu do transakcji dokonywanych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jednostkami powiązanymi, np. wymogu, aby były one dokonywane na zasadach rynkowych. </w:t>
      </w:r>
    </w:p>
    <w:p w14:paraId="4EEB1D79" w14:textId="77777777" w:rsidR="008B6B2D" w:rsidRPr="007237F6" w:rsidRDefault="008B6B2D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.</w:t>
      </w:r>
    </w:p>
    <w:p w14:paraId="2CD6925C" w14:textId="376E8ACC" w:rsidR="002A16E2" w:rsidRPr="007237F6" w:rsidRDefault="002A16E2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Banku obowi</w:t>
      </w:r>
      <w:r w:rsidR="003F7A2A" w:rsidRPr="007237F6">
        <w:rPr>
          <w:rFonts w:ascii="Garamond" w:hAnsi="Garamond"/>
          <w:sz w:val="24"/>
          <w:szCs w:val="24"/>
        </w:rPr>
        <w:t>ą</w:t>
      </w:r>
      <w:r w:rsidRPr="007237F6">
        <w:rPr>
          <w:rFonts w:ascii="Garamond" w:hAnsi="Garamond"/>
          <w:sz w:val="24"/>
          <w:szCs w:val="24"/>
        </w:rPr>
        <w:t>zuje skuteczna polityka w celu identyfikacji i oceny rzeczywistych oraz potencjalnych konfliktów między interesami instytucji a prywatnymi interesami pracowników i ich minimalizacji lub zapobiegania im; opracowana przez Zarząd.</w:t>
      </w:r>
    </w:p>
    <w:p w14:paraId="3EB9A060" w14:textId="77777777" w:rsidR="003F7A2A" w:rsidRDefault="003F7A2A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77E0A74A" w14:textId="77777777" w:rsidR="00BF0059" w:rsidRDefault="00BF0059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007EC589" w14:textId="77777777" w:rsidR="00BF0059" w:rsidRDefault="00BF0059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1A6CD1CB" w14:textId="77777777" w:rsidR="00BF0059" w:rsidRDefault="00BF0059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5BB914FD" w14:textId="77777777" w:rsidR="00BF0059" w:rsidRPr="007237F6" w:rsidRDefault="00BF0059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724A4B41" w14:textId="77777777" w:rsidR="003F7A2A" w:rsidRPr="007237F6" w:rsidRDefault="003F7A2A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lastRenderedPageBreak/>
        <w:t>Rozdział 9</w:t>
      </w:r>
    </w:p>
    <w:p w14:paraId="2735E849" w14:textId="77777777" w:rsidR="003F7A2A" w:rsidRPr="007237F6" w:rsidRDefault="003F7A2A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Polityka wynagradzania</w:t>
      </w:r>
    </w:p>
    <w:p w14:paraId="5A1D131B" w14:textId="77777777" w:rsidR="003F7A2A" w:rsidRPr="007237F6" w:rsidRDefault="003F7A2A" w:rsidP="007237F6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2872E3CD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A9A0603" w14:textId="77777777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prowadzi przejrzystą politykę wynagradzania członków organu Rady Nadzorczej i Zarządu, a także osób pełniących kluczowe funkcje. Zasady wynagradzania zostały określone w odpowiednich wewnętrznych aktach prawnych Banku (polityka wynagradzania). </w:t>
      </w:r>
    </w:p>
    <w:p w14:paraId="61E5996C" w14:textId="77777777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ustalaniu polityki wynagradzania uwzględniana jest sytuacja finansowa Banku. </w:t>
      </w:r>
    </w:p>
    <w:p w14:paraId="403BB97F" w14:textId="5C82435C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Rada Nadzorcza przygotowuje i przedstawia Zebraniu Przedstawicieli, raz w roku, raport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oceny funkcjonowania polityki wynagradzania w Banku. </w:t>
      </w:r>
    </w:p>
    <w:p w14:paraId="4E48213E" w14:textId="77777777" w:rsidR="002A16E2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Zebranie Przedstawicieli dokonuje oceny, czy ustalona polityka wynagradzania sprzyja rozwojowi i bezpieczeństwu działania Banku. </w:t>
      </w:r>
    </w:p>
    <w:p w14:paraId="666714BF" w14:textId="77777777" w:rsidR="00BF0059" w:rsidRPr="00BF0059" w:rsidRDefault="00BF0059" w:rsidP="00BF0059">
      <w:pPr>
        <w:jc w:val="both"/>
        <w:rPr>
          <w:rFonts w:ascii="Garamond" w:hAnsi="Garamond"/>
          <w:sz w:val="24"/>
          <w:szCs w:val="24"/>
        </w:rPr>
      </w:pPr>
    </w:p>
    <w:p w14:paraId="403014C6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F99D430" w14:textId="5F66D8FE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Wynagrodzenie członków Rady Nadzorczej ustala się adekwatnie do pełnionej funkcji, a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także adekwatnie do skali działalności. Członkowie Rady Nadzorczej powołani do pracy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komitetach, są wynagradzani adekwatnie do dodatkowych zadań wykonywanych w ramach danego komitetu.</w:t>
      </w:r>
    </w:p>
    <w:p w14:paraId="1B6DEA44" w14:textId="7AEC0419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 </w:t>
      </w:r>
      <w:r w:rsidR="00F87AB8">
        <w:rPr>
          <w:rFonts w:ascii="Garamond" w:hAnsi="Garamond"/>
          <w:sz w:val="24"/>
          <w:szCs w:val="24"/>
        </w:rPr>
        <w:t>Wysokość w</w:t>
      </w:r>
      <w:r w:rsidRPr="007237F6">
        <w:rPr>
          <w:rFonts w:ascii="Garamond" w:hAnsi="Garamond"/>
          <w:sz w:val="24"/>
          <w:szCs w:val="24"/>
        </w:rPr>
        <w:t>ynagrodzeni</w:t>
      </w:r>
      <w:r w:rsidR="00F87AB8">
        <w:rPr>
          <w:rFonts w:ascii="Garamond" w:hAnsi="Garamond"/>
          <w:sz w:val="24"/>
          <w:szCs w:val="24"/>
        </w:rPr>
        <w:t>a</w:t>
      </w:r>
      <w:r w:rsidRPr="007237F6">
        <w:rPr>
          <w:rFonts w:ascii="Garamond" w:hAnsi="Garamond"/>
          <w:sz w:val="24"/>
          <w:szCs w:val="24"/>
        </w:rPr>
        <w:t xml:space="preserve"> członków Rady Nadzorczej ustalone jest przez Zebranie Przedstawicieli.</w:t>
      </w:r>
    </w:p>
    <w:p w14:paraId="62C0E85A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Zasady wynagradzania członków Rady Nadzorczej są transparentne i zawarte w</w:t>
      </w:r>
      <w:r w:rsidR="003F7A2A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uchwale Zebrania Przedstawicieli.</w:t>
      </w:r>
    </w:p>
    <w:p w14:paraId="1D9EA0A2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9853BD1" w14:textId="4B66225A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Rada Nadzorcza, odpowiada za wprowadzenie wewnętrznego aktu prawnego określającego zasady wynagradzania członków Zarządu Banku, w tym szczegółowe kryteria i warunki uzasadniające uzyskanie zmiennych składników wynagrodzenia. </w:t>
      </w:r>
    </w:p>
    <w:p w14:paraId="3754C061" w14:textId="77777777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pacing w:val="-4"/>
          <w:sz w:val="24"/>
          <w:szCs w:val="24"/>
        </w:rPr>
        <w:t xml:space="preserve">Rada Nadzorcza sprawuje nadzór nad wprowadzoną polityką wynagradzania, w tym dokonuje weryfikacji spełnienia kryteriów i warunków uzasadniających uzyskanie zmiennych składników wynagrodzenia przed wypłatą całości lub części tego wynagrodzenia. </w:t>
      </w:r>
    </w:p>
    <w:p w14:paraId="496521F4" w14:textId="11ACCCE7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odniesieniu do osób pełniących kluczowe funkcje odpowiedzialność za wprowadzenie odpowiedniego wewnętrznego aktu prawnego i nadzór w tym obszarze ciąży na Zarządzie Banku</w:t>
      </w:r>
      <w:r w:rsidR="00F87AB8">
        <w:rPr>
          <w:rFonts w:ascii="Garamond" w:hAnsi="Garamond"/>
          <w:sz w:val="24"/>
          <w:szCs w:val="24"/>
        </w:rPr>
        <w:t xml:space="preserve">, z wyłączeniem wynagrodzenia osoby kierującej komórką ds. zgodności, które zatwierdza Rada Nadzorcza. </w:t>
      </w:r>
    </w:p>
    <w:p w14:paraId="47D469E1" w14:textId="77777777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Zmienne składniki wynagrodzenia członków Zarządu Banku lub osób pełniących kluczowe funkcje są uzależnione, w szczególności od obiektywnych kryteriów, jakości zarządzania Bankiem oraz uwzględniają długoterminowe aspekty działania i sposób realizacji celów strategicznych. Ustalając zmienne składniki wynagrodzenia uwzględnia się także nagrody lub korzyści, w tym wynikające z programów motywacyjnych oraz innych programów premiowych wypłaconych, należnych lub potencjalnie należnych.  Ustalona polityka wynagradzania nie stanowi zachęty do podejmowania nadmiernego ryzyka w działalności Banku.</w:t>
      </w:r>
    </w:p>
    <w:p w14:paraId="3AEEA738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Wynagrodzenie członka Zarządu Banku lub osób pełniących kluczowe funkcje jest finansowane i wypłacane ze środków Banku.</w:t>
      </w:r>
    </w:p>
    <w:p w14:paraId="7091D7F2" w14:textId="77777777" w:rsidR="003F7A2A" w:rsidRDefault="003F7A2A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77B5061D" w14:textId="77777777" w:rsidR="00BF0059" w:rsidRDefault="00BF0059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76B88C6E" w14:textId="77777777" w:rsidR="00BF0059" w:rsidRPr="007237F6" w:rsidRDefault="00BF0059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26165F7E" w14:textId="77777777" w:rsidR="003F7A2A" w:rsidRPr="007237F6" w:rsidRDefault="003F7A2A" w:rsidP="007237F6">
      <w:pPr>
        <w:pStyle w:val="Akapitzlist"/>
        <w:spacing w:before="240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lastRenderedPageBreak/>
        <w:t>Rozdział 10</w:t>
      </w:r>
    </w:p>
    <w:p w14:paraId="435A32EC" w14:textId="77777777" w:rsidR="003F7A2A" w:rsidRPr="007237F6" w:rsidRDefault="003F7A2A" w:rsidP="007237F6">
      <w:pPr>
        <w:pStyle w:val="Akapitzlist"/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Polityka informacyjna</w:t>
      </w:r>
    </w:p>
    <w:p w14:paraId="766072E1" w14:textId="77777777" w:rsidR="003F7A2A" w:rsidRPr="007237F6" w:rsidRDefault="003F7A2A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D241833" w14:textId="77777777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>Bank prowadzi przejrzystą politykę informacyjną, uwzględniającą potrzeby jego udziałowców oraz klientów, udostępnioną na stronie internetowej Banku.</w:t>
      </w:r>
    </w:p>
    <w:p w14:paraId="1CC13D1D" w14:textId="0342E9C1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 xml:space="preserve">Polityka informacyjna Banku oparta jest na ułatwianiu dostępu do informacji. </w:t>
      </w:r>
      <w:r w:rsidR="0041273E">
        <w:rPr>
          <w:rFonts w:ascii="Garamond" w:hAnsi="Garamond"/>
          <w:color w:val="000000" w:themeColor="text1"/>
          <w:sz w:val="24"/>
          <w:szCs w:val="24"/>
        </w:rPr>
        <w:br/>
      </w:r>
      <w:r w:rsidRPr="007237F6">
        <w:rPr>
          <w:rFonts w:ascii="Garamond" w:hAnsi="Garamond"/>
          <w:color w:val="000000" w:themeColor="text1"/>
          <w:sz w:val="24"/>
          <w:szCs w:val="24"/>
        </w:rPr>
        <w:t>W szczególności publikowane przez Bank raporty zawierające informacje finansowe umieszczane są na stronie internetowej Banku pod adresem</w:t>
      </w:r>
      <w:r w:rsidR="003F7A2A" w:rsidRPr="007237F6">
        <w:rPr>
          <w:rFonts w:ascii="Garamond" w:hAnsi="Garamond"/>
          <w:color w:val="000000" w:themeColor="text1"/>
          <w:sz w:val="24"/>
          <w:szCs w:val="24"/>
        </w:rPr>
        <w:t>:</w:t>
      </w:r>
      <w:r w:rsidR="000B3226">
        <w:rPr>
          <w:rFonts w:ascii="Garamond" w:hAnsi="Garamond"/>
          <w:color w:val="000000" w:themeColor="text1"/>
          <w:sz w:val="24"/>
          <w:szCs w:val="24"/>
        </w:rPr>
        <w:t xml:space="preserve"> www.bswarka.pl</w:t>
      </w:r>
    </w:p>
    <w:p w14:paraId="3C523A42" w14:textId="523F4D51" w:rsidR="002A16E2" w:rsidRPr="007237F6" w:rsidRDefault="000B3226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Bank zapewnia członkom Banku</w:t>
      </w:r>
      <w:r w:rsidR="002A16E2" w:rsidRPr="007237F6">
        <w:rPr>
          <w:rFonts w:ascii="Garamond" w:hAnsi="Garamond"/>
          <w:color w:val="000000" w:themeColor="text1"/>
          <w:sz w:val="24"/>
          <w:szCs w:val="24"/>
        </w:rPr>
        <w:t xml:space="preserve"> równy dostęp do informacji. </w:t>
      </w:r>
    </w:p>
    <w:p w14:paraId="3991BCB6" w14:textId="6AA187BF" w:rsidR="003F7A2A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color w:val="000000" w:themeColor="text1"/>
          <w:sz w:val="24"/>
          <w:szCs w:val="24"/>
        </w:rPr>
        <w:t>Polityka informacyjna określa w szczególności zasady i terminy u</w:t>
      </w:r>
      <w:r w:rsidR="000B3226">
        <w:rPr>
          <w:rFonts w:ascii="Garamond" w:hAnsi="Garamond"/>
          <w:color w:val="000000" w:themeColor="text1"/>
          <w:sz w:val="24"/>
          <w:szCs w:val="24"/>
        </w:rPr>
        <w:t>dzielania odpowiedzi członkom Banku</w:t>
      </w:r>
      <w:r w:rsidRPr="007237F6">
        <w:rPr>
          <w:rFonts w:ascii="Garamond" w:hAnsi="Garamond"/>
          <w:color w:val="000000" w:themeColor="text1"/>
          <w:sz w:val="24"/>
          <w:szCs w:val="24"/>
        </w:rPr>
        <w:t xml:space="preserve"> oraz klientom. </w:t>
      </w:r>
    </w:p>
    <w:p w14:paraId="27015794" w14:textId="3B3DDFB2" w:rsidR="006477F0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Polityka informacyjna zapewnia ochronę informacji oraz uwzględnia odrębne regulacje wynikające z przepisów szczególnych regulujących funkcjonowanie Banku</w:t>
      </w:r>
      <w:r w:rsidR="00F87AB8">
        <w:rPr>
          <w:rFonts w:ascii="Garamond" w:hAnsi="Garamond"/>
          <w:sz w:val="24"/>
          <w:szCs w:val="24"/>
        </w:rPr>
        <w:t>, w tym szczegółowe regulacje wynikające z ustawy Prawo bankowe.</w:t>
      </w:r>
    </w:p>
    <w:p w14:paraId="79898AD9" w14:textId="77777777" w:rsidR="006477F0" w:rsidRPr="007237F6" w:rsidRDefault="006477F0" w:rsidP="007237F6">
      <w:pPr>
        <w:pStyle w:val="Akapitzlist"/>
        <w:ind w:left="1440"/>
        <w:jc w:val="both"/>
        <w:rPr>
          <w:rFonts w:ascii="Garamond" w:hAnsi="Garamond"/>
          <w:sz w:val="24"/>
          <w:szCs w:val="24"/>
        </w:rPr>
      </w:pPr>
    </w:p>
    <w:p w14:paraId="2CA0AEFA" w14:textId="77777777" w:rsidR="006477F0" w:rsidRPr="007237F6" w:rsidRDefault="006477F0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11</w:t>
      </w:r>
    </w:p>
    <w:p w14:paraId="2B65884F" w14:textId="16EA388F" w:rsidR="006477F0" w:rsidRPr="007237F6" w:rsidRDefault="006477F0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 xml:space="preserve">Polityka </w:t>
      </w:r>
      <w:r w:rsidR="00F87AB8">
        <w:rPr>
          <w:rFonts w:ascii="Garamond" w:hAnsi="Garamond"/>
          <w:b/>
          <w:sz w:val="24"/>
          <w:szCs w:val="24"/>
        </w:rPr>
        <w:t xml:space="preserve">wprowadzania </w:t>
      </w:r>
      <w:r w:rsidRPr="007237F6">
        <w:rPr>
          <w:rFonts w:ascii="Garamond" w:hAnsi="Garamond"/>
          <w:b/>
          <w:sz w:val="24"/>
          <w:szCs w:val="24"/>
        </w:rPr>
        <w:t>nowych produktów</w:t>
      </w:r>
      <w:r w:rsidR="007A3B87" w:rsidRPr="007237F6">
        <w:rPr>
          <w:rFonts w:ascii="Garamond" w:hAnsi="Garamond"/>
          <w:b/>
          <w:sz w:val="24"/>
          <w:szCs w:val="24"/>
        </w:rPr>
        <w:t xml:space="preserve"> i usług</w:t>
      </w:r>
    </w:p>
    <w:p w14:paraId="712B1038" w14:textId="77777777" w:rsidR="006477F0" w:rsidRPr="007237F6" w:rsidRDefault="006477F0" w:rsidP="007237F6">
      <w:pPr>
        <w:pStyle w:val="Akapitzlist"/>
        <w:jc w:val="center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Działalność promocyjna i relacje z klientami</w:t>
      </w:r>
    </w:p>
    <w:p w14:paraId="1C1A262A" w14:textId="77777777" w:rsidR="006477F0" w:rsidRPr="007237F6" w:rsidRDefault="006477F0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236C970" w14:textId="5D596D85" w:rsidR="006477F0" w:rsidRPr="007237F6" w:rsidRDefault="006477F0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W Banku opracowana została Polityka </w:t>
      </w:r>
      <w:r w:rsidR="00F87AB8">
        <w:rPr>
          <w:rFonts w:ascii="Garamond" w:hAnsi="Garamond"/>
          <w:sz w:val="24"/>
          <w:szCs w:val="24"/>
        </w:rPr>
        <w:t xml:space="preserve">wprowadzania </w:t>
      </w:r>
      <w:r w:rsidRPr="007237F6">
        <w:rPr>
          <w:rFonts w:ascii="Garamond" w:hAnsi="Garamond"/>
          <w:sz w:val="24"/>
          <w:szCs w:val="24"/>
        </w:rPr>
        <w:t>nowych produktów, która obejmuje rozwój nowych rynków, produktów i usług oraz znaczące zmiany dotychczasowych rynków, produktów i usług, jak też wyjątkowe transakcje, jak również istotne zmiany powiązanych procesów (np. nowe zasady outsourcingu) i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systemów (np. procesów zmian w zakresie informatyki). </w:t>
      </w:r>
    </w:p>
    <w:p w14:paraId="7ADA9FA8" w14:textId="753B3230" w:rsidR="006477F0" w:rsidRPr="007237F6" w:rsidRDefault="006477F0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Polityka zatwierdzania nowych produktów zapewnia, spójność produktów i zmian ze strategią w zakresie ryzyka i skłonnością Banku do podejmowania ryzyka oraz z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odpowiednimi limitami, poprzez uwzględnienie w jej treści  wszystkich czynników, które należy wziąć pod uwagę przed podjęciem decyzji o wejściu na nowe rynki, obrocie nowymi produktami, wdrożeniu nowej usługi lub wprowadzeniu znaczących zmian dotychczasowych produktów lub usług. </w:t>
      </w:r>
    </w:p>
    <w:p w14:paraId="302BE54C" w14:textId="4ACB7888" w:rsidR="007A3B87" w:rsidRPr="007237F6" w:rsidRDefault="006477F0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Każdy nowy produkt lub znacząca zmiana dotychczasowego produktu podlega ocenie uprzedniej i systematycznej przez komórkę ds. zgodności</w:t>
      </w:r>
      <w:r w:rsidR="007A3B87" w:rsidRPr="007237F6">
        <w:rPr>
          <w:rFonts w:ascii="Garamond" w:hAnsi="Garamond"/>
          <w:sz w:val="24"/>
          <w:szCs w:val="24"/>
        </w:rPr>
        <w:t>, a w zatwierdzeniu nowych produktów lub znaczących zmian dotychczasowych produktów, procesów i systemów powinny uczestniczyć komórka ds. zarządzania ryzykiem i komórka ds. zgodności</w:t>
      </w:r>
      <w:r w:rsidR="0041273E">
        <w:rPr>
          <w:rFonts w:ascii="Garamond" w:hAnsi="Garamond"/>
          <w:sz w:val="24"/>
          <w:szCs w:val="24"/>
        </w:rPr>
        <w:t>.</w:t>
      </w:r>
      <w:r w:rsidR="007A3B87" w:rsidRPr="007237F6">
        <w:rPr>
          <w:rFonts w:ascii="Garamond" w:hAnsi="Garamond"/>
          <w:sz w:val="24"/>
          <w:szCs w:val="24"/>
        </w:rPr>
        <w:t xml:space="preserve"> </w:t>
      </w:r>
    </w:p>
    <w:p w14:paraId="1F08526D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1D4EF3D2" w14:textId="77777777" w:rsidR="007A3B87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Przekaz reklamowy dotyczący usługi lub produktu oferowanego przez Bank  albo jego działalności, dalej jako „przedmiot reklamowany”, jest rzetelny i nie wprowadza w</w:t>
      </w:r>
      <w:r w:rsidR="007A3B87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błąd oraz cechuje się poszanowaniem powszechnie obowiązujących przepisów prawa, zasad uczciwego obrotu jak również dobrych obyczajów. </w:t>
      </w:r>
    </w:p>
    <w:p w14:paraId="78EC790E" w14:textId="77777777" w:rsidR="007A3B87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w sposób jasny wskazuje, jakiego produktu lub usługi dotyczy. </w:t>
      </w:r>
    </w:p>
    <w:p w14:paraId="22ED1004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nie eksponuje korzyści w taki sposób, który powodowałby umniejszenie znaczenia kosztów i </w:t>
      </w:r>
      <w:proofErr w:type="spellStart"/>
      <w:r w:rsidRPr="007237F6">
        <w:rPr>
          <w:rFonts w:ascii="Garamond" w:hAnsi="Garamond"/>
          <w:sz w:val="24"/>
          <w:szCs w:val="24"/>
        </w:rPr>
        <w:t>ryzyk</w:t>
      </w:r>
      <w:proofErr w:type="spellEnd"/>
      <w:r w:rsidRPr="007237F6">
        <w:rPr>
          <w:rFonts w:ascii="Garamond" w:hAnsi="Garamond"/>
          <w:sz w:val="24"/>
          <w:szCs w:val="24"/>
        </w:rPr>
        <w:t xml:space="preserve"> związanych z nabyciem produktu lub usługi. </w:t>
      </w:r>
    </w:p>
    <w:p w14:paraId="7B8C1BBA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4910AA34" w14:textId="77777777" w:rsidR="002A16E2" w:rsidRPr="007237F6" w:rsidRDefault="002A16E2" w:rsidP="007237F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Przekaz reklamowy nie powinien wprowadzać w błąd, ani stwarzać możliwości wprowadzenia w błąd w szczególności co do: </w:t>
      </w:r>
    </w:p>
    <w:p w14:paraId="1F5E5BA5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charakteru prawnego przedmiotu reklamowanego, w tym praw i obowiązków klienta,</w:t>
      </w:r>
    </w:p>
    <w:p w14:paraId="01EE78C0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 xml:space="preserve"> tożsamości podmiotu reklamującego, </w:t>
      </w:r>
    </w:p>
    <w:p w14:paraId="349B0CE2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istotnych cech przedmiotu reklamowanego, </w:t>
      </w:r>
    </w:p>
    <w:p w14:paraId="3B49F73F" w14:textId="106670D1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korzyści, które można osiągnąć nabywając lub korzystając z</w:t>
      </w:r>
      <w:r w:rsidR="0041273E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przedmiotu reklamowanego oraz okresu, w którym powstają, </w:t>
      </w:r>
    </w:p>
    <w:p w14:paraId="1F9EFEC2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ponoszonych przez klienta całkowitych kosztów związanych z nabyciem lub korzystaniem z przedmiotu reklamowanego oraz okresu, którego te koszty dotyczą, </w:t>
      </w:r>
    </w:p>
    <w:p w14:paraId="31A02E45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czasu, wartości i terytorialnej dostępności przedmiotu reklamowanego, </w:t>
      </w:r>
    </w:p>
    <w:p w14:paraId="691BE614" w14:textId="77777777" w:rsidR="002A16E2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ryzyka związanego nabyciem lub korzystaniem z przedmiotu reklamowanego. </w:t>
      </w:r>
    </w:p>
    <w:p w14:paraId="6E568560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847943D" w14:textId="77777777" w:rsidR="002A16E2" w:rsidRPr="007237F6" w:rsidRDefault="002A16E2" w:rsidP="007237F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Przy tworzeniu oraz publikacji przekazu reklamowego Bank w szczególności: </w:t>
      </w:r>
    </w:p>
    <w:p w14:paraId="3D0E8C0D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czuwa nad charakterem i konstrukcją przekazów reklamowych przygotowywanych i publikowanych w imieniu Banku lub na jego rzecz, </w:t>
      </w:r>
    </w:p>
    <w:p w14:paraId="721FA8C9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zapewnia odbiorcy możliwość swobodnego zapoznania się ze wszystkimi treściami składającymi się na przekaz, w szczególności ze wszelkiego rodzaju wskazaniami i zastrzeżeniami stanowiącymi integralną część przekazu reklamowego, </w:t>
      </w:r>
    </w:p>
    <w:p w14:paraId="439B0D99" w14:textId="77777777" w:rsidR="007A3B87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zapewnia, aby rozwiązania graficzne zastosowane w przekazie reklamowym nie utrudniały odbiorcy zapoznania się z istotnymi informacjami przedmiotu reklamowanego w tym przekazie, w szczególności z informacjami wymaganymi przepisami prawa oraz rekomendacjami nadzorczymi, </w:t>
      </w:r>
    </w:p>
    <w:p w14:paraId="2E6573AF" w14:textId="77777777" w:rsidR="002A16E2" w:rsidRPr="007237F6" w:rsidRDefault="002A16E2" w:rsidP="00811754">
      <w:pPr>
        <w:pStyle w:val="Akapitzlist"/>
        <w:numPr>
          <w:ilvl w:val="2"/>
          <w:numId w:val="3"/>
        </w:numPr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podaje źródło prezentowanych informacji, jeżeli przekaz reklamowy odwołuje się do wyników sondaży, badań statystycznych, rankingów, ratingów lub innych danych. </w:t>
      </w:r>
    </w:p>
    <w:p w14:paraId="0513D6E5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527CC42" w14:textId="77777777" w:rsidR="007A3B87" w:rsidRPr="007237F6" w:rsidRDefault="007A3B87" w:rsidP="00AD081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Proces oferowania produktów lub usług finansowych powinien być prowadzony przez odpowiednio przygotowane osoby w celu zapewnienia rzetelności przekazywanych klientom informacji oraz udzielania im zrozumiałych wyjaśnień.</w:t>
      </w:r>
    </w:p>
    <w:p w14:paraId="42D3DB3D" w14:textId="77777777" w:rsidR="007A3B87" w:rsidRPr="007237F6" w:rsidRDefault="007A3B87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48E9624" w14:textId="77777777" w:rsidR="007A3B87" w:rsidRPr="007237F6" w:rsidRDefault="002A16E2" w:rsidP="00811754">
      <w:pPr>
        <w:pStyle w:val="Akapitzlist"/>
        <w:numPr>
          <w:ilvl w:val="1"/>
          <w:numId w:val="3"/>
        </w:numPr>
        <w:ind w:left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dokłada starań,  aby oferowane produkty lub usługi  finansowe były adekwatne do potrzeb klientów, do których są kierowane. </w:t>
      </w:r>
    </w:p>
    <w:p w14:paraId="7D22BAE4" w14:textId="0541B448" w:rsidR="002A16E2" w:rsidRPr="007237F6" w:rsidRDefault="002A16E2" w:rsidP="00811754">
      <w:pPr>
        <w:pStyle w:val="Akapitzlist"/>
        <w:numPr>
          <w:ilvl w:val="1"/>
          <w:numId w:val="3"/>
        </w:numPr>
        <w:ind w:left="284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 etapie przedstawiania charakteru i konstrukcji rekomendowanego produktu lub usługi finansowej Bank oraz podmioty z nimi współpracujące uwzględniają potrzeby, o których mowa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ust. 1, w szczególności co do indywidualnej sytuacji klienta, w tym wiedzy i doświadczenia na rynku finansowym, a tam gdzie to uzasadnione, pożądanego czasu trwania inwestycji oraz poziomu akceptacji ryzyka. </w:t>
      </w:r>
    </w:p>
    <w:p w14:paraId="3868B889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47C356A" w14:textId="2F0B19DA" w:rsidR="002A16E2" w:rsidRPr="007237F6" w:rsidRDefault="002A16E2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 oraz współpracujące z nią podmioty powinny rzetelnie i w sposób przystępny dla przeciętnego odbiorcy informują o oferowanym produkcie lub usłudze, w tym </w:t>
      </w:r>
      <w:r w:rsidR="00D47DD8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w szczególności o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charakterze i konstrukcji tego produktu lub usługi, korzyściach oraz czynnikach warunkujących osiągnięcie ewentualnego zysku, a także o wszelkich ryzykach z nimi związanych, w tym o opłatach i kosztach (również związanych z wcześniejszą rezygnacją z produktu lub usługi). </w:t>
      </w:r>
    </w:p>
    <w:p w14:paraId="4C19EE96" w14:textId="77777777" w:rsidR="00D47DD8" w:rsidRPr="007237F6" w:rsidRDefault="00D47DD8" w:rsidP="00811754">
      <w:pPr>
        <w:pStyle w:val="Akapitzlist"/>
        <w:numPr>
          <w:ilvl w:val="0"/>
          <w:numId w:val="3"/>
        </w:numPr>
        <w:ind w:left="709"/>
        <w:jc w:val="center"/>
        <w:rPr>
          <w:rFonts w:ascii="Garamond" w:hAnsi="Garamond"/>
          <w:sz w:val="24"/>
          <w:szCs w:val="24"/>
        </w:rPr>
      </w:pPr>
    </w:p>
    <w:p w14:paraId="19E2CA7C" w14:textId="0E4FB7E9" w:rsidR="00D47DD8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Wszelkie niezbędne informacje dotyczące charakteru i konstrukcji produktu lub usługi finansowej, mające znaczenie dla podjęcia przez klienta decyzji, są udostępniane klientom w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taki sposób, aby w odpowiednim czasie przed zawarciem umowy mieli oni możliwość swobodnego zapoznania się z ich treścią. </w:t>
      </w:r>
    </w:p>
    <w:p w14:paraId="2C7EB04B" w14:textId="77777777" w:rsidR="00D47DD8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 xml:space="preserve">Postanowienia umowy, w tym wzorce umowy oraz istotne informacje na temat umowy zamieszczone w innych dokumentach, są przedstawione klientowi przez Bank oraz podmioty z nią współpracujące przed podjęciem przez niego decyzji co do zawarcia umowy. </w:t>
      </w:r>
    </w:p>
    <w:p w14:paraId="133DFE66" w14:textId="77777777" w:rsidR="00D47DD8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Jeśli w ocenie klienta nie jest możliwe zapoznanie się z przedstawionymi dokumentami na miejscu Bank przekazuje klientowi na koszt własny kopie odpowiednich dokumentów. </w:t>
      </w:r>
    </w:p>
    <w:p w14:paraId="4C5537AA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709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podejmuje odpowiednie działania i dokłada należytej staranności, aby wzorce umów nie zawierały postanowień niejednoznacznych. </w:t>
      </w:r>
    </w:p>
    <w:p w14:paraId="7C455FD4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C7A3783" w14:textId="77777777" w:rsidR="00D47DD8" w:rsidRPr="007237F6" w:rsidRDefault="002A16E2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opracowuje i udostępnia klientom jasne i przejrzyste zasady rozpatrywania skarg i reklamacji.</w:t>
      </w:r>
    </w:p>
    <w:p w14:paraId="47B05ADB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39A5B39" w14:textId="77777777" w:rsidR="002A16E2" w:rsidRPr="007237F6" w:rsidRDefault="002A16E2" w:rsidP="007237F6">
      <w:pPr>
        <w:spacing w:line="276" w:lineRule="auto"/>
        <w:ind w:left="360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prowadzi  zorganizowaną formę rozpatrywania skarg i reklamacji oraz podejmuje działań zaradcze zmierzające do ograniczenia sytuacji, powodujących ich występowanie w przyszłości. </w:t>
      </w:r>
    </w:p>
    <w:p w14:paraId="63AA877A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01C3122" w14:textId="543E4F5F" w:rsidR="002A16E2" w:rsidRPr="007237F6" w:rsidRDefault="002A16E2" w:rsidP="007237F6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Proces rozpatrywania skarg i reklamacji przez Bank prowadzony jest  niezwłocznie nie później niż w terminie </w:t>
      </w:r>
      <w:r w:rsidR="000B3226">
        <w:rPr>
          <w:rFonts w:ascii="Garamond" w:hAnsi="Garamond"/>
          <w:sz w:val="24"/>
          <w:szCs w:val="24"/>
        </w:rPr>
        <w:t>15</w:t>
      </w:r>
      <w:r w:rsidRPr="007237F6">
        <w:rPr>
          <w:rFonts w:ascii="Garamond" w:hAnsi="Garamond"/>
          <w:sz w:val="24"/>
          <w:szCs w:val="24"/>
        </w:rPr>
        <w:t xml:space="preserve"> dni, a także cechuje się rzetelnością, wnikliwością, obiektywizmem oraz poszanowaniem powszechnie obowiązujących przepisów prawa, zasad uczciwego obrotu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dobrych obyczajów. </w:t>
      </w:r>
    </w:p>
    <w:p w14:paraId="7495A8B6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2C763346" w14:textId="77777777" w:rsidR="002A16E2" w:rsidRPr="007237F6" w:rsidRDefault="002A16E2" w:rsidP="0041273E">
      <w:pPr>
        <w:pStyle w:val="Akapitzlist"/>
        <w:ind w:left="426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Treść odpowiedzi na skargę lub reklamację zawiera, o ile to możliwe, pełne i wyczerpujące uzasadnienie faktyczne i prawne, stosownie do zarzutów zamieszczonych w reklamacji lub skardze. </w:t>
      </w:r>
    </w:p>
    <w:p w14:paraId="4D99C04C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1E730279" w14:textId="77777777" w:rsidR="002A16E2" w:rsidRPr="007237F6" w:rsidRDefault="002A16E2" w:rsidP="00E952D7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dąży do polubownego rozwiązywania sporów ze swoimi klientami. </w:t>
      </w:r>
    </w:p>
    <w:p w14:paraId="3D328DC9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77629D7" w14:textId="77777777" w:rsidR="002A16E2" w:rsidRPr="007237F6" w:rsidRDefault="002A16E2" w:rsidP="00E952D7">
      <w:pPr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dochodząc swoich roszczeń, w szczególności prowadząc działania windykacyjne wobec klientów, działa profesjonalnie i dba o reputację instytucji zaufania publicznego. </w:t>
      </w:r>
    </w:p>
    <w:p w14:paraId="6B30046E" w14:textId="77777777" w:rsidR="00D47DD8" w:rsidRPr="007237F6" w:rsidRDefault="00D47DD8" w:rsidP="007237F6">
      <w:pPr>
        <w:spacing w:line="276" w:lineRule="auto"/>
        <w:ind w:left="360"/>
        <w:rPr>
          <w:rFonts w:ascii="Garamond" w:hAnsi="Garamond"/>
          <w:sz w:val="24"/>
          <w:szCs w:val="24"/>
        </w:rPr>
      </w:pPr>
    </w:p>
    <w:p w14:paraId="2C26DC4F" w14:textId="77777777" w:rsidR="00D47DD8" w:rsidRPr="007237F6" w:rsidRDefault="00D47DD8" w:rsidP="007237F6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Rozdział 12</w:t>
      </w:r>
    </w:p>
    <w:p w14:paraId="69DE8F59" w14:textId="77777777" w:rsidR="00D47DD8" w:rsidRPr="007237F6" w:rsidRDefault="00D47DD8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7237F6">
        <w:rPr>
          <w:rFonts w:ascii="Garamond" w:hAnsi="Garamond"/>
          <w:b/>
          <w:sz w:val="24"/>
          <w:szCs w:val="24"/>
        </w:rPr>
        <w:t>Kluczowe systemy i funkcje wewnętrzne</w:t>
      </w:r>
    </w:p>
    <w:p w14:paraId="1A2E4292" w14:textId="77777777" w:rsidR="00D47DD8" w:rsidRPr="007237F6" w:rsidRDefault="00D47DD8" w:rsidP="007237F6">
      <w:pPr>
        <w:spacing w:line="276" w:lineRule="auto"/>
        <w:rPr>
          <w:rFonts w:ascii="Garamond" w:hAnsi="Garamond"/>
          <w:sz w:val="24"/>
          <w:szCs w:val="24"/>
        </w:rPr>
      </w:pPr>
    </w:p>
    <w:p w14:paraId="7BBC8A77" w14:textId="77777777" w:rsidR="00D47DD8" w:rsidRPr="007237F6" w:rsidRDefault="00D47DD8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0B18F69D" w14:textId="77777777" w:rsidR="00D47DD8" w:rsidRPr="007237F6" w:rsidRDefault="00D47DD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posiada adekwatny, efektywny i skuteczny system kontroli wewnętrznej mający na celu zapewnienie: </w:t>
      </w:r>
    </w:p>
    <w:p w14:paraId="57B9906B" w14:textId="77777777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prawidłowości procedur administracyjnych i księgowych a także sprawozdawczości finansowej oraz rzetelnego raportowania wewnętrznego i</w:t>
      </w:r>
      <w:r w:rsidR="00337601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zewnętrznego, </w:t>
      </w:r>
    </w:p>
    <w:p w14:paraId="04E6393C" w14:textId="031521E9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zgodności działania z przepisami prawa i regulacjami wewnętrznymi oraz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uwzględnieniem rekomendacji nadzorczych. </w:t>
      </w:r>
    </w:p>
    <w:p w14:paraId="0F2E568A" w14:textId="77777777" w:rsidR="00D47DD8" w:rsidRPr="007237F6" w:rsidRDefault="00D47DD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Na proces zapewniania realizacji celów systemu kontroli wewnętrznej składa się organizacja kontroli wewnętrznej, mechanizmy kontrolne oraz szacowanie ryzyka nieosiągnięcia celów wymienionych w ust. 1. </w:t>
      </w:r>
    </w:p>
    <w:p w14:paraId="7FBAB842" w14:textId="77777777" w:rsidR="00D47DD8" w:rsidRPr="007237F6" w:rsidRDefault="00D47DD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posiada komórkę kontroli wewnętrznej dysponującą wystarczającymi uprawnieniami, statusem i dostępem do organów Banku, aby mogła wypełniać swoją funkcję.  </w:t>
      </w:r>
    </w:p>
    <w:p w14:paraId="393BAACC" w14:textId="77777777" w:rsidR="00D47DD8" w:rsidRPr="007237F6" w:rsidRDefault="00D47DD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dokumentuje  proces zapewnienia realizacji celów systemu kontroli wewnętrznej. </w:t>
      </w:r>
    </w:p>
    <w:p w14:paraId="41142076" w14:textId="77777777" w:rsidR="00D47DD8" w:rsidRPr="007237F6" w:rsidRDefault="00D47DD8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lastRenderedPageBreak/>
        <w:t xml:space="preserve">Ramy kontroli wewnętrznej Banku zapewniają: </w:t>
      </w:r>
    </w:p>
    <w:p w14:paraId="3C2E2C3A" w14:textId="77777777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skuteczną i efektywną działalność; </w:t>
      </w:r>
    </w:p>
    <w:p w14:paraId="52639359" w14:textId="77777777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ostrożne prowadzenie działalności; </w:t>
      </w:r>
    </w:p>
    <w:p w14:paraId="511894D9" w14:textId="77777777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odpowiednią identyfikację, pomiar i minimalizację ryzyka; </w:t>
      </w:r>
    </w:p>
    <w:p w14:paraId="371328AB" w14:textId="77777777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 xml:space="preserve">wiarygodność informacji finansowych i niefinansowych objętych sprawozdawczością zarówno wewnętrzną, jak i zewnętrzną; </w:t>
      </w:r>
    </w:p>
    <w:p w14:paraId="750BE7CF" w14:textId="77777777" w:rsidR="00D47DD8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eastAsiaTheme="minorHAnsi" w:hAnsi="Garamond" w:cs="Calibri"/>
          <w:color w:val="000000"/>
          <w:sz w:val="24"/>
          <w:szCs w:val="24"/>
        </w:rPr>
        <w:t>właściwe procedury administracyjne i księgowe; oraz</w:t>
      </w:r>
    </w:p>
    <w:p w14:paraId="64C8D92C" w14:textId="77777777" w:rsidR="00337601" w:rsidRPr="007237F6" w:rsidRDefault="00D47DD8" w:rsidP="00811754">
      <w:pPr>
        <w:pStyle w:val="Akapitzlist"/>
        <w:numPr>
          <w:ilvl w:val="2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zgodność z przepisami, regulacjami, wymogami nadzorczymi oraz polityką wewnętrzną instytucji, jej procesami, regulaminami i decyzjami.</w:t>
      </w:r>
    </w:p>
    <w:p w14:paraId="08405942" w14:textId="77777777" w:rsidR="00D47DD8" w:rsidRPr="007237F6" w:rsidRDefault="00D47DD8" w:rsidP="00811754">
      <w:pPr>
        <w:pStyle w:val="Akapitzlist"/>
        <w:numPr>
          <w:ilvl w:val="0"/>
          <w:numId w:val="3"/>
        </w:numPr>
        <w:ind w:left="851"/>
        <w:jc w:val="center"/>
        <w:rPr>
          <w:rFonts w:ascii="Garamond" w:hAnsi="Garamond"/>
          <w:sz w:val="24"/>
          <w:szCs w:val="24"/>
        </w:rPr>
      </w:pPr>
    </w:p>
    <w:p w14:paraId="27ACFE83" w14:textId="156CB98E" w:rsidR="00337601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System kontroli wewnętrznej Banku obejmuje wszystkie poziomy w strukturze organizacyjnej Banku</w:t>
      </w:r>
      <w:r w:rsidR="00AD0814">
        <w:rPr>
          <w:rFonts w:ascii="Garamond" w:hAnsi="Garamond"/>
          <w:sz w:val="24"/>
          <w:szCs w:val="24"/>
        </w:rPr>
        <w:t>.</w:t>
      </w:r>
      <w:r w:rsidRPr="007237F6">
        <w:rPr>
          <w:rFonts w:ascii="Garamond" w:hAnsi="Garamond"/>
          <w:sz w:val="24"/>
          <w:szCs w:val="24"/>
        </w:rPr>
        <w:t xml:space="preserve"> </w:t>
      </w:r>
    </w:p>
    <w:p w14:paraId="32ACB0A5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Zarząd Banku opracowuje i wdraża adekwatny, efektywny i skuteczny system kontroli wewnętrznej, a Rada Nadzorcza Banku dokonuje okresowej oceny adekwatności, efektywności i skuteczności zarówno całości systemu kontroli wewnętrznej, jak i wybranych jego elementów.</w:t>
      </w:r>
    </w:p>
    <w:p w14:paraId="2601879B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Bank zapewnia ustanowienie, utrzymanie i regularne aktualizowanie pisemnej polityki, mechanizmów i procedur kontroli wewnętrznej obejmujący jednostki wewnętrzne i komórki kontroli wewnętrznej oraz komunikują pracownikom istotne zmiany </w:t>
      </w:r>
      <w:r w:rsidR="00337601" w:rsidRPr="007237F6">
        <w:rPr>
          <w:rFonts w:ascii="Garamond" w:hAnsi="Garamond"/>
          <w:sz w:val="24"/>
          <w:szCs w:val="24"/>
        </w:rPr>
        <w:t>.</w:t>
      </w:r>
    </w:p>
    <w:p w14:paraId="23BBFABC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Pracownikom Banku w ramach obowiązków służbowych przypisane są odpowiednie zadania związane z zapewnianiem realizacji celów systemu kontroli wewnętrznej. </w:t>
      </w:r>
    </w:p>
    <w:p w14:paraId="7D8EC553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Komórki kontroli wewnętrznej weryfikują, czy polityka, mechanizmy i procedury określone w ramach kontroli wewnętrznej są prawidłowo wdrażane w ich poszczególnych obszarach właściwości. </w:t>
      </w:r>
    </w:p>
    <w:p w14:paraId="693508D8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Komórki kontroli wewnętrznej regularnie przedkładają Zarządowi lub Radzie Nadzorczej sprawozdania dotyczące zidentyfikowanych ważnych uchybień - zawierając</w:t>
      </w:r>
      <w:r w:rsidR="00337601" w:rsidRPr="007237F6">
        <w:rPr>
          <w:rFonts w:ascii="Garamond" w:hAnsi="Garamond"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 w przypadku każdego nowego zidentyfikowanego ważnego uchybienia opis związanego z nim ryzyka, ocenę skutków, zalecenia oraz wskazanie środków naprawczych, jakie należy podjąć. Zarząd podejmuje w stosownym czasie skuteczne działania następcze w związku z ustaleniami komórek kontroli wewnętrznej oraz może zażądać odpowiednich działań naprawczych, określonych w procedurze działań następczych związanych z ustaleniami i podjętymi środkami naprawczymi. </w:t>
      </w:r>
    </w:p>
    <w:p w14:paraId="32A144E0" w14:textId="77777777" w:rsidR="00337601" w:rsidRPr="007237F6" w:rsidRDefault="00337601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FDC0942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opracowuje i wdraża efektywną, skuteczną i niezależną funkcję zapewniania zgodności działania Banku z przepisami prawa i regulacjami wewnętrznymi oraz z</w:t>
      </w:r>
      <w:r w:rsidR="00337601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uwzględnieniem rekomendacji nadzorczych. </w:t>
      </w:r>
    </w:p>
    <w:p w14:paraId="675C188B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Sposób organizacji funkcji zapewnienia zgodności </w:t>
      </w:r>
      <w:r w:rsidR="00337601" w:rsidRPr="007237F6">
        <w:rPr>
          <w:rFonts w:ascii="Garamond" w:hAnsi="Garamond"/>
          <w:sz w:val="24"/>
          <w:szCs w:val="24"/>
        </w:rPr>
        <w:t xml:space="preserve">w Banku gwarantuje </w:t>
      </w:r>
      <w:r w:rsidRPr="007237F6">
        <w:rPr>
          <w:rFonts w:ascii="Garamond" w:hAnsi="Garamond"/>
          <w:sz w:val="24"/>
          <w:szCs w:val="24"/>
        </w:rPr>
        <w:t xml:space="preserve">niezależność wykonywania zadań w tym zakresie oraz dysponowanie wystarczającymi uprawnieniami, statusem i zasobami. </w:t>
      </w:r>
    </w:p>
    <w:p w14:paraId="5326782B" w14:textId="754A15FD" w:rsidR="00337601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Pracownicy komórki ds. zgodności </w:t>
      </w:r>
      <w:r w:rsidR="00337601" w:rsidRPr="007237F6">
        <w:rPr>
          <w:rFonts w:ascii="Garamond" w:hAnsi="Garamond"/>
          <w:sz w:val="24"/>
          <w:szCs w:val="24"/>
        </w:rPr>
        <w:t xml:space="preserve">posiadają </w:t>
      </w:r>
      <w:r w:rsidRPr="007237F6">
        <w:rPr>
          <w:rFonts w:ascii="Garamond" w:hAnsi="Garamond"/>
          <w:sz w:val="24"/>
          <w:szCs w:val="24"/>
        </w:rPr>
        <w:t>wystarczającą wiedzę, umiejętności i</w:t>
      </w:r>
      <w:r w:rsidR="00AD0814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doświadczenie w odniesieniu do nadzoru zgodności z prawem i</w:t>
      </w:r>
      <w:r w:rsidR="00337601" w:rsidRPr="007237F6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odpowiednich procedur, jak również Bank zapewnia im dost</w:t>
      </w:r>
      <w:r w:rsidR="00337601" w:rsidRPr="007237F6">
        <w:rPr>
          <w:rFonts w:ascii="Garamond" w:hAnsi="Garamond"/>
          <w:sz w:val="24"/>
          <w:szCs w:val="24"/>
        </w:rPr>
        <w:t>ę</w:t>
      </w:r>
      <w:r w:rsidRPr="007237F6">
        <w:rPr>
          <w:rFonts w:ascii="Garamond" w:hAnsi="Garamond"/>
          <w:sz w:val="24"/>
          <w:szCs w:val="24"/>
        </w:rPr>
        <w:t xml:space="preserve">p do regularnych szkoleń w tym zakresie. </w:t>
      </w:r>
    </w:p>
    <w:p w14:paraId="05DCE423" w14:textId="77777777" w:rsidR="002A16E2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Komórka ds. zgodności powinna doradzać Zarządowi w sprawie środków jakie należy podjąć w celu zapewnienia zgodności z obowiązującymi przepisami, zasadami, regulacjami oraz standardami oraz oceniać wpływ zmian na działalność</w:t>
      </w:r>
      <w:r w:rsidR="00337601" w:rsidRPr="007237F6">
        <w:rPr>
          <w:rFonts w:ascii="Garamond" w:hAnsi="Garamond"/>
          <w:sz w:val="24"/>
          <w:szCs w:val="24"/>
        </w:rPr>
        <w:t xml:space="preserve"> Banku. </w:t>
      </w:r>
    </w:p>
    <w:p w14:paraId="20F04895" w14:textId="77777777" w:rsidR="00BF0059" w:rsidRPr="00BF0059" w:rsidRDefault="00BF0059" w:rsidP="00BF0059">
      <w:pPr>
        <w:jc w:val="both"/>
        <w:rPr>
          <w:rFonts w:ascii="Garamond" w:hAnsi="Garamond"/>
          <w:sz w:val="24"/>
          <w:szCs w:val="24"/>
        </w:rPr>
      </w:pPr>
    </w:p>
    <w:p w14:paraId="0628D661" w14:textId="77777777" w:rsidR="00337601" w:rsidRPr="007237F6" w:rsidRDefault="00337601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7B4FB89" w14:textId="601D5E3E" w:rsidR="00337601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zapewnia efektywną, skuteczną i niezależną funkcję audytu wewnętrznego mającą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szczególności za zadanie regularne badanie adekwatności, skuteczności i efektywności,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szczególności systemu kontroli wewnętrznej, funkcji zapewnienia zgodności i systemu zarządzania ryzykiem. </w:t>
      </w:r>
    </w:p>
    <w:p w14:paraId="2522AEBB" w14:textId="77777777" w:rsidR="00337601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Sposób organizacji funkcji audytu wewnętrznego gwarantuje niezależność wykonywania zadań w tym zakresie. </w:t>
      </w:r>
    </w:p>
    <w:p w14:paraId="3E960E5B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993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Audyt wewnętrzny Banku wykonywany jest na podstawie art. 10 ust. 2  Ustawy z dnia 10 sierpnia 1997 roku Prawo bankowe, na zasadach określonych w Umowie Systemu Ochrony SGB przez jednostkę zarządzająca Systemem Ochrony SGB- Spółdzielnię, działająca pod firmą „Spółdzielczy System Ochrony SGB”,   ul. Mielżyńskiego 22, 61-725 Poznań, zarejestrowaną w Krajowym Rejestrze Sądowym pod nr KRS 0000600238 .prowadzonym przez Sąd Rejonowy Poznań- Nowe Miasto i Wilda w Poznaniu, VIII Wydział Gospodarczy Krajowego Rejestru Sądowego</w:t>
      </w:r>
      <w:r w:rsidR="00337601" w:rsidRPr="007237F6">
        <w:rPr>
          <w:rFonts w:ascii="Garamond" w:hAnsi="Garamond"/>
          <w:sz w:val="24"/>
          <w:szCs w:val="24"/>
        </w:rPr>
        <w:t xml:space="preserve">. </w:t>
      </w:r>
    </w:p>
    <w:p w14:paraId="1DB18B68" w14:textId="77777777" w:rsidR="00337601" w:rsidRPr="007237F6" w:rsidRDefault="00337601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3F3DE029" w14:textId="7289952A" w:rsidR="008973BE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Osoba kierująca komórką audytu wewnętrznego w jednostce zarządzającej Systemem Ochrony SGB- Spółdzi</w:t>
      </w:r>
      <w:r w:rsidRPr="007237F6">
        <w:rPr>
          <w:rFonts w:ascii="Garamond" w:hAnsi="Garamond"/>
          <w:b/>
          <w:sz w:val="24"/>
          <w:szCs w:val="24"/>
        </w:rPr>
        <w:t>e</w:t>
      </w:r>
      <w:r w:rsidRPr="007237F6">
        <w:rPr>
          <w:rFonts w:ascii="Garamond" w:hAnsi="Garamond"/>
          <w:sz w:val="24"/>
          <w:szCs w:val="24"/>
        </w:rPr>
        <w:t xml:space="preserve">lni  oraz osoba kierująca komórką do spraw zgodności Banku mają zapewnioną możliwość bezpośredniego komunikowania się z Zarządem oraz Radą Nadzorczą Banku, a ponadto komórka do spraw zgodności Banku ma możliwość bezpośredniego i jednoczesnego raportowania do tych organów. </w:t>
      </w:r>
    </w:p>
    <w:p w14:paraId="43CD5465" w14:textId="647929C4" w:rsidR="008973BE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Osoba kierująca komórką do spraw zgodności Banku uczestniczy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posiedzeniach Zarządu i Rady Nadzorczej Banku, jeżeli przedmiotem posiedzenia są zagadnienia związane z systemem kontroli wewnętrznej lub funkcją zgodności. </w:t>
      </w:r>
    </w:p>
    <w:p w14:paraId="372B75D1" w14:textId="167B2C76" w:rsidR="008973BE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 xml:space="preserve">Powoływanie i odwoływanie osoby kierującej komórką do spraw zgodności Banku odbywa się za zgodą Rady Nadzorczej Banku. </w:t>
      </w:r>
    </w:p>
    <w:p w14:paraId="0E656FA8" w14:textId="77777777" w:rsidR="00D44A45" w:rsidRPr="007237F6" w:rsidRDefault="00D44A45" w:rsidP="00D44A45">
      <w:pPr>
        <w:pStyle w:val="Akapitzlist"/>
        <w:ind w:left="851"/>
        <w:jc w:val="both"/>
        <w:rPr>
          <w:rFonts w:ascii="Garamond" w:hAnsi="Garamond"/>
          <w:sz w:val="24"/>
          <w:szCs w:val="24"/>
        </w:rPr>
      </w:pPr>
    </w:p>
    <w:p w14:paraId="3903B94A" w14:textId="77777777" w:rsidR="008973BE" w:rsidRPr="007237F6" w:rsidRDefault="008973BE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5EE83142" w14:textId="77777777" w:rsidR="002A16E2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Bank skutecznie zarządza ryzykiem występującym w jego działalności, w szczególności poprzez opracowanie i wdrożenie adekwatnego i skutecznego systemu zarządzania ryzykiem uwzględniającego strategię zarządzania ryzykiem obejmującą tolerancję na ryzyko określoną przez Bank.</w:t>
      </w:r>
    </w:p>
    <w:p w14:paraId="0CB6A7F7" w14:textId="0E3F2B14" w:rsidR="008973BE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W ramach zarządzania ryzykiem Bank bierze pod uwagę wszystkie istotne rodzaje ryzyka, z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należytym uwzględnieniem ryzyka zarówno finansowego, jak i niefinansowego, w tym ryzyka kredytowego, rynkowego, płynności, koncentracji, operacyjnego, informatycznego, utraty reputacji, prawnego, związanego z postępowaniem, zgodnością z prawem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strategicznego. </w:t>
      </w:r>
    </w:p>
    <w:p w14:paraId="5656734A" w14:textId="77777777" w:rsidR="008973BE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Na proces zarządzania ryzykiem składa się jego identyfikacja, pomiar, szacowanie, monitorowanie oraz stosowanie mechanizmów kontrolujących i ograniczających zidentyfikowany, zmierzony lub oszacowany poziom ryzyka, a także sprawozdawczość ryzyka, tak aby Zarząd i wszystkie stosowne jednostki otrzymywały w stosownym czasie dokładne, zwięzłe i zrozumiałe i istotne sprawozdania oraz mogły wymieniać stosowne informacje dotyczące identyfikacji, pomiaru lub oceny i monitorowania ryzyka i zarządzania nim</w:t>
      </w:r>
      <w:r w:rsidR="008973BE" w:rsidRPr="007237F6">
        <w:rPr>
          <w:rFonts w:ascii="Garamond" w:hAnsi="Garamond"/>
          <w:sz w:val="24"/>
          <w:szCs w:val="24"/>
        </w:rPr>
        <w:t>.</w:t>
      </w:r>
    </w:p>
    <w:p w14:paraId="4D91BF70" w14:textId="32EAB807" w:rsidR="002A16E2" w:rsidRPr="007237F6" w:rsidRDefault="002A16E2" w:rsidP="00811754">
      <w:pPr>
        <w:pStyle w:val="Akapitzlist"/>
        <w:numPr>
          <w:ilvl w:val="1"/>
          <w:numId w:val="3"/>
        </w:numPr>
        <w:ind w:left="851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System zarządzania ryzykiem zorganizowany jest adekwatnie do charakteru, skali i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złożoności prowadzonej działalności przy uwzględnieniu strategicznych celów Banku, w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>tym strategii odnośnie do zarządzania ryzykiem uwzględniającej tolerancję na ryzyko określoną przez Bank.</w:t>
      </w:r>
    </w:p>
    <w:p w14:paraId="6B6A188E" w14:textId="77777777" w:rsidR="008973BE" w:rsidRPr="007237F6" w:rsidRDefault="008973BE" w:rsidP="00811754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03CFCDD" w14:textId="77777777" w:rsidR="008973BE" w:rsidRPr="007237F6" w:rsidRDefault="002A16E2" w:rsidP="00811754">
      <w:pPr>
        <w:pStyle w:val="Akapitzlist"/>
        <w:numPr>
          <w:ilvl w:val="1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Niezależnie od zadań przypisanych komórkom organizacyjnym Banku i innym jego  organom, odpowiedzialność za skuteczne zarządzanie ryzykiem ponosi Zarząd Banku.</w:t>
      </w:r>
    </w:p>
    <w:p w14:paraId="1EBD9F1A" w14:textId="53FF148D" w:rsidR="002A16E2" w:rsidRPr="007237F6" w:rsidRDefault="002A16E2" w:rsidP="00811754">
      <w:pPr>
        <w:pStyle w:val="Akapitzlist"/>
        <w:numPr>
          <w:ilvl w:val="1"/>
          <w:numId w:val="3"/>
        </w:numPr>
        <w:ind w:left="426"/>
        <w:jc w:val="both"/>
        <w:rPr>
          <w:rFonts w:ascii="Garamond" w:hAnsi="Garamond"/>
          <w:sz w:val="24"/>
          <w:szCs w:val="24"/>
        </w:rPr>
      </w:pPr>
      <w:r w:rsidRPr="007237F6">
        <w:rPr>
          <w:rFonts w:ascii="Garamond" w:hAnsi="Garamond"/>
          <w:sz w:val="24"/>
          <w:szCs w:val="24"/>
        </w:rPr>
        <w:t>Członkowie Zarządu Banku, uwzględniając charakter, skalę i złożoność prowadzonej działalności nie powinni łączyć odpowiedzialności za zarządzanie danym ryzykiem z odpowiedzialnością za</w:t>
      </w:r>
      <w:r w:rsidR="00E952D7">
        <w:rPr>
          <w:rFonts w:ascii="Garamond" w:hAnsi="Garamond"/>
          <w:sz w:val="24"/>
          <w:szCs w:val="24"/>
        </w:rPr>
        <w:t> </w:t>
      </w:r>
      <w:r w:rsidRPr="007237F6">
        <w:rPr>
          <w:rFonts w:ascii="Garamond" w:hAnsi="Garamond"/>
          <w:sz w:val="24"/>
          <w:szCs w:val="24"/>
        </w:rPr>
        <w:t xml:space="preserve">obszar działalności generujący to ryzyko. </w:t>
      </w:r>
    </w:p>
    <w:p w14:paraId="20D26333" w14:textId="4FFC4565" w:rsidR="00D44A45" w:rsidRDefault="00D44A45" w:rsidP="00D44A45">
      <w:pPr>
        <w:pStyle w:val="Akapitzlist"/>
        <w:numPr>
          <w:ilvl w:val="0"/>
          <w:numId w:val="3"/>
        </w:numPr>
        <w:jc w:val="center"/>
        <w:rPr>
          <w:rFonts w:ascii="Garamond" w:hAnsi="Garamond"/>
          <w:sz w:val="24"/>
          <w:szCs w:val="24"/>
        </w:rPr>
      </w:pPr>
    </w:p>
    <w:p w14:paraId="6B8D62BD" w14:textId="7C92A50A" w:rsidR="008973BE" w:rsidRPr="00D44A45" w:rsidRDefault="00D44A45" w:rsidP="00D44A45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D44A45">
        <w:rPr>
          <w:rFonts w:ascii="Garamond" w:hAnsi="Garamond"/>
          <w:sz w:val="24"/>
          <w:szCs w:val="24"/>
        </w:rPr>
        <w:t>Rada Nadzorcza Banku  zatwierdza i nadzoruje realizację strategii zarządzania ryzykiem, sprawując nadzór nad skutecznością zarządzania ryzykiem. Zarząd Banku zapewnia otrzymywanie przez Radę Nadzorczą Banku regularnej i aktualnej informacji o ryzyku zidentyfikowanym w obecnej lub przyszłej działalności Banku, charakterze, skali i złożoności ryzyka oraz działaniach podejmowanych w ramach zarządzania tym ryzykiem, w tym także informacji od komórki audytu wewnętrznego Spółdzielni lub komórki do spraw zapewnienia zgodności Banku lub innej komórki lub osoby odpowiedzialnej w Banku za ten obszar.</w:t>
      </w:r>
    </w:p>
    <w:p w14:paraId="2C413229" w14:textId="77777777" w:rsidR="00D44A45" w:rsidRPr="00D44A45" w:rsidRDefault="00D44A45" w:rsidP="00D44A45">
      <w:pPr>
        <w:ind w:left="360"/>
        <w:jc w:val="both"/>
        <w:rPr>
          <w:rFonts w:ascii="Garamond" w:hAnsi="Garamond"/>
          <w:sz w:val="24"/>
          <w:szCs w:val="24"/>
        </w:rPr>
      </w:pPr>
    </w:p>
    <w:p w14:paraId="08CA994D" w14:textId="77777777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F67C988" w14:textId="77777777" w:rsidR="002A16E2" w:rsidRPr="007237F6" w:rsidRDefault="002A16E2" w:rsidP="007237F6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bookmarkEnd w:id="1"/>
    <w:p w14:paraId="2BAB46D7" w14:textId="77777777" w:rsidR="002A16E2" w:rsidRPr="007237F6" w:rsidRDefault="002A16E2" w:rsidP="007237F6">
      <w:pPr>
        <w:spacing w:line="276" w:lineRule="auto"/>
        <w:rPr>
          <w:rFonts w:ascii="Garamond" w:hAnsi="Garamond"/>
          <w:sz w:val="24"/>
          <w:szCs w:val="24"/>
        </w:rPr>
      </w:pPr>
    </w:p>
    <w:p w14:paraId="64C9772D" w14:textId="77777777" w:rsidR="00CF180B" w:rsidRPr="007237F6" w:rsidRDefault="00CF180B" w:rsidP="007237F6">
      <w:pPr>
        <w:spacing w:line="276" w:lineRule="auto"/>
        <w:rPr>
          <w:rFonts w:ascii="Garamond" w:hAnsi="Garamond"/>
          <w:sz w:val="24"/>
          <w:szCs w:val="24"/>
        </w:rPr>
      </w:pPr>
    </w:p>
    <w:sectPr w:rsidR="00CF180B" w:rsidRPr="007237F6" w:rsidSect="00942BE6">
      <w:headerReference w:type="default" r:id="rId8"/>
      <w:footerReference w:type="default" r:id="rId9"/>
      <w:pgSz w:w="11906" w:h="16838"/>
      <w:pgMar w:top="1134" w:right="1134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7D44" w14:textId="77777777" w:rsidR="00DF5617" w:rsidRDefault="00DF5617" w:rsidP="002A16E2">
      <w:r>
        <w:separator/>
      </w:r>
    </w:p>
  </w:endnote>
  <w:endnote w:type="continuationSeparator" w:id="0">
    <w:p w14:paraId="7852B3D2" w14:textId="77777777" w:rsidR="00DF5617" w:rsidRDefault="00DF5617" w:rsidP="002A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9126"/>
      <w:docPartObj>
        <w:docPartGallery w:val="Page Numbers (Bottom of Page)"/>
        <w:docPartUnique/>
      </w:docPartObj>
    </w:sdtPr>
    <w:sdtEndPr/>
    <w:sdtContent>
      <w:p w14:paraId="36469C09" w14:textId="77777777" w:rsidR="00E952D7" w:rsidRDefault="00E952D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0FA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DCE2C8" w14:textId="77777777" w:rsidR="00E952D7" w:rsidRDefault="00E95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EB67" w14:textId="77777777" w:rsidR="00DF5617" w:rsidRDefault="00DF5617" w:rsidP="002A16E2">
      <w:r>
        <w:separator/>
      </w:r>
    </w:p>
  </w:footnote>
  <w:footnote w:type="continuationSeparator" w:id="0">
    <w:p w14:paraId="74944174" w14:textId="77777777" w:rsidR="00DF5617" w:rsidRDefault="00DF5617" w:rsidP="002A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1906" w14:textId="16AA77A6" w:rsidR="00E952D7" w:rsidRDefault="00E952D7" w:rsidP="00942BE6">
    <w:pPr>
      <w:pStyle w:val="Nagwek"/>
      <w:jc w:val="center"/>
    </w:pPr>
    <w:r>
      <w:t>Polityka Ładu Korpora</w:t>
    </w:r>
    <w:r w:rsidR="00315462">
      <w:t>cyjnego Banku Spółdzielczego w Warce</w:t>
    </w:r>
  </w:p>
  <w:p w14:paraId="7137BFA9" w14:textId="77777777" w:rsidR="00E952D7" w:rsidRDefault="00E952D7" w:rsidP="00942BE6">
    <w:pPr>
      <w:pStyle w:val="Nagwek"/>
      <w:jc w:val="center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F44"/>
    <w:multiLevelType w:val="hybridMultilevel"/>
    <w:tmpl w:val="8B862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DB9"/>
    <w:multiLevelType w:val="hybridMultilevel"/>
    <w:tmpl w:val="A31C0592"/>
    <w:lvl w:ilvl="0" w:tplc="924E4D66">
      <w:start w:val="1"/>
      <w:numFmt w:val="decimal"/>
      <w:lvlText w:val="§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3AC838B6"/>
    <w:multiLevelType w:val="hybridMultilevel"/>
    <w:tmpl w:val="DB7EF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B3AF9"/>
    <w:multiLevelType w:val="hybridMultilevel"/>
    <w:tmpl w:val="876800E2"/>
    <w:lvl w:ilvl="0" w:tplc="B8C617F0">
      <w:start w:val="1"/>
      <w:numFmt w:val="decimal"/>
      <w:lvlText w:val="§%1."/>
      <w:lvlJc w:val="left"/>
      <w:pPr>
        <w:ind w:left="720" w:hanging="360"/>
      </w:pPr>
      <w:rPr>
        <w:rFonts w:cs="Times New Roman" w:hint="default"/>
        <w:b w:val="0"/>
      </w:rPr>
    </w:lvl>
    <w:lvl w:ilvl="1" w:tplc="CC0A35E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D6E92"/>
    <w:multiLevelType w:val="hybridMultilevel"/>
    <w:tmpl w:val="E79E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E2"/>
    <w:rsid w:val="00026064"/>
    <w:rsid w:val="000B3226"/>
    <w:rsid w:val="0012243E"/>
    <w:rsid w:val="001350BF"/>
    <w:rsid w:val="0016064C"/>
    <w:rsid w:val="001E134A"/>
    <w:rsid w:val="001E632D"/>
    <w:rsid w:val="002229A5"/>
    <w:rsid w:val="002A16E2"/>
    <w:rsid w:val="002D31F5"/>
    <w:rsid w:val="00315462"/>
    <w:rsid w:val="00337601"/>
    <w:rsid w:val="00344CB7"/>
    <w:rsid w:val="003D0D0B"/>
    <w:rsid w:val="003F29F4"/>
    <w:rsid w:val="003F7A2A"/>
    <w:rsid w:val="00410E5B"/>
    <w:rsid w:val="0041273E"/>
    <w:rsid w:val="00542929"/>
    <w:rsid w:val="00564BED"/>
    <w:rsid w:val="005C423C"/>
    <w:rsid w:val="005F294E"/>
    <w:rsid w:val="00616034"/>
    <w:rsid w:val="006477F0"/>
    <w:rsid w:val="0066089A"/>
    <w:rsid w:val="006E1082"/>
    <w:rsid w:val="006E1DCB"/>
    <w:rsid w:val="006F6248"/>
    <w:rsid w:val="007237F6"/>
    <w:rsid w:val="00775CF3"/>
    <w:rsid w:val="00787328"/>
    <w:rsid w:val="007A3B87"/>
    <w:rsid w:val="00811754"/>
    <w:rsid w:val="00835645"/>
    <w:rsid w:val="008372F8"/>
    <w:rsid w:val="008973BE"/>
    <w:rsid w:val="008B6B2D"/>
    <w:rsid w:val="008D0154"/>
    <w:rsid w:val="008D4922"/>
    <w:rsid w:val="008E1FCA"/>
    <w:rsid w:val="00925E36"/>
    <w:rsid w:val="00931DDD"/>
    <w:rsid w:val="00942BE6"/>
    <w:rsid w:val="00A168AF"/>
    <w:rsid w:val="00AD0814"/>
    <w:rsid w:val="00AE5AB0"/>
    <w:rsid w:val="00B10FAD"/>
    <w:rsid w:val="00BF0059"/>
    <w:rsid w:val="00C3712F"/>
    <w:rsid w:val="00CB46D6"/>
    <w:rsid w:val="00CD69C6"/>
    <w:rsid w:val="00CF180B"/>
    <w:rsid w:val="00CF7C80"/>
    <w:rsid w:val="00D335C2"/>
    <w:rsid w:val="00D44A45"/>
    <w:rsid w:val="00D47DD8"/>
    <w:rsid w:val="00DF5617"/>
    <w:rsid w:val="00E92EC4"/>
    <w:rsid w:val="00E952D7"/>
    <w:rsid w:val="00ED53F3"/>
    <w:rsid w:val="00EF191D"/>
    <w:rsid w:val="00F244F6"/>
    <w:rsid w:val="00F87AB8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B4C"/>
  <w15:chartTrackingRefBased/>
  <w15:docId w15:val="{2B16164C-97FA-4563-BCC1-ED7DD83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6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16E2"/>
    <w:pPr>
      <w:keepNext/>
      <w:spacing w:line="360" w:lineRule="auto"/>
      <w:jc w:val="center"/>
      <w:outlineLvl w:val="3"/>
    </w:pPr>
    <w:rPr>
      <w:rFonts w:eastAsia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16E2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E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16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6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6E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16E2"/>
    <w:rPr>
      <w:color w:val="0563C1" w:themeColor="hyperlink"/>
      <w:u w:val="single"/>
    </w:rPr>
  </w:style>
  <w:style w:type="paragraph" w:customStyle="1" w:styleId="Default">
    <w:name w:val="Default"/>
    <w:rsid w:val="002A1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6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6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6E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1E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E4B1A-CF0B-45E1-82EE-428F6D41A07E}"/>
</file>

<file path=customXml/itemProps2.xml><?xml version="1.0" encoding="utf-8"?>
<ds:datastoreItem xmlns:ds="http://schemas.openxmlformats.org/officeDocument/2006/customXml" ds:itemID="{EFE8BD2F-D8AD-4A93-B397-7B15950C1847}"/>
</file>

<file path=customXml/itemProps3.xml><?xml version="1.0" encoding="utf-8"?>
<ds:datastoreItem xmlns:ds="http://schemas.openxmlformats.org/officeDocument/2006/customXml" ds:itemID="{44700798-23D2-4C29-A7FB-2561158DC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7700</Words>
  <Characters>46201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Gosk</dc:creator>
  <cp:keywords/>
  <dc:description/>
  <cp:lastModifiedBy>Makuch Izabella</cp:lastModifiedBy>
  <cp:revision>10</cp:revision>
  <cp:lastPrinted>2019-05-23T06:41:00Z</cp:lastPrinted>
  <dcterms:created xsi:type="dcterms:W3CDTF">2019-02-04T11:41:00Z</dcterms:created>
  <dcterms:modified xsi:type="dcterms:W3CDTF">2019-05-23T07:33:00Z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